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881" w:lineRule="exact"/>
        <w:ind w:left="0" w:right="23" w:firstLine="0"/>
        <w:jc w:val="center"/>
        <w:rPr>
          <w:rFonts w:cs="Times New Roman" w:asciiTheme="minorEastAsia" w:hAnsiTheme="minorEastAsia" w:eastAsiaTheme="minorEastAsia"/>
          <w:color w:val="auto"/>
          <w:spacing w:val="18"/>
          <w:sz w:val="52"/>
          <w:szCs w:val="24"/>
        </w:rPr>
      </w:pP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中电建冀交高速公路投资发展有限公司</w:t>
      </w: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风险分级管控与隐患排查治理实施手册</w:t>
      </w: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（工程管理）</w:t>
      </w: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tabs>
          <w:tab w:val="left" w:pos="1259"/>
          <w:tab w:val="left" w:pos="2520"/>
          <w:tab w:val="left" w:pos="3780"/>
        </w:tabs>
        <w:spacing w:after="0" w:line="240" w:lineRule="auto"/>
        <w:ind w:left="0" w:right="15" w:firstLine="0"/>
        <w:jc w:val="center"/>
        <w:rPr>
          <w:rFonts w:cs="Times New Roman" w:asciiTheme="minorEastAsia" w:hAnsiTheme="minorEastAsia" w:eastAsiaTheme="minorEastAsia"/>
          <w:color w:val="auto"/>
          <w:sz w:val="84"/>
          <w:szCs w:val="24"/>
        </w:rPr>
      </w:pPr>
      <w:r>
        <w:rPr>
          <w:szCs w:val="32"/>
        </w:rPr>
        <w:drawing>
          <wp:inline distT="0" distB="0" distL="0" distR="0">
            <wp:extent cx="1285875" cy="1485900"/>
            <wp:effectExtent l="0" t="0" r="9525" b="0"/>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16" cstate="print"/>
                    <a:stretch>
                      <a:fillRect/>
                    </a:stretch>
                  </pic:blipFill>
                  <pic:spPr>
                    <a:xfrm>
                      <a:off x="0" y="0"/>
                      <a:ext cx="1285875" cy="1485900"/>
                    </a:xfrm>
                    <a:prstGeom prst="rect">
                      <a:avLst/>
                    </a:prstGeom>
                  </pic:spPr>
                </pic:pic>
              </a:graphicData>
            </a:graphic>
          </wp:inline>
        </w:drawing>
      </w:r>
    </w:p>
    <w:p>
      <w:pPr>
        <w:widowControl w:val="0"/>
        <w:tabs>
          <w:tab w:val="left" w:pos="1259"/>
          <w:tab w:val="left" w:pos="2520"/>
          <w:tab w:val="left" w:pos="3780"/>
        </w:tabs>
        <w:spacing w:after="0" w:line="240" w:lineRule="auto"/>
        <w:ind w:left="0" w:right="15" w:firstLine="0"/>
        <w:jc w:val="center"/>
        <w:rPr>
          <w:rFonts w:cs="Times New Roman" w:asciiTheme="minorEastAsia" w:hAnsiTheme="minorEastAsia" w:eastAsiaTheme="minorEastAsia"/>
          <w:color w:val="auto"/>
          <w:sz w:val="84"/>
          <w:szCs w:val="24"/>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84"/>
          <w:szCs w:val="24"/>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after="0" w:line="360" w:lineRule="auto"/>
        <w:ind w:left="0" w:firstLine="0"/>
        <w:jc w:val="center"/>
        <w:rPr>
          <w:rFonts w:cs="Noto Sans CJK JP Regular" w:asciiTheme="minorEastAsia" w:hAnsiTheme="minorEastAsia" w:eastAsiaTheme="minorEastAsia"/>
          <w:color w:val="auto"/>
          <w:kern w:val="0"/>
          <w:sz w:val="36"/>
          <w:szCs w:val="36"/>
          <w:lang w:val="zh-CN" w:bidi="zh-CN"/>
        </w:rPr>
      </w:pPr>
      <w:r>
        <w:rPr>
          <w:rFonts w:hint="eastAsia" w:cs="Noto Sans CJK JP Regular" w:asciiTheme="minorEastAsia" w:hAnsiTheme="minorEastAsia" w:eastAsiaTheme="minorEastAsia"/>
          <w:color w:val="auto"/>
          <w:kern w:val="0"/>
          <w:sz w:val="36"/>
          <w:szCs w:val="36"/>
          <w:lang w:val="zh-CN" w:bidi="zh-CN"/>
        </w:rPr>
        <w:t>中电建冀交高速公路投资发展有限公司</w:t>
      </w:r>
    </w:p>
    <w:p>
      <w:pPr>
        <w:widowControl w:val="0"/>
        <w:autoSpaceDE w:val="0"/>
        <w:autoSpaceDN w:val="0"/>
        <w:spacing w:after="0" w:line="360" w:lineRule="auto"/>
        <w:ind w:left="0" w:firstLine="0"/>
        <w:jc w:val="center"/>
        <w:rPr>
          <w:rFonts w:cs="Noto Sans CJK JP Regular" w:asciiTheme="minorEastAsia" w:hAnsiTheme="minorEastAsia" w:eastAsiaTheme="minorEastAsia"/>
          <w:color w:val="auto"/>
          <w:kern w:val="0"/>
          <w:sz w:val="36"/>
          <w:szCs w:val="36"/>
          <w:lang w:val="zh-CN" w:bidi="zh-CN"/>
        </w:rPr>
      </w:pPr>
      <w:r>
        <w:rPr>
          <w:rFonts w:cs="Noto Sans CJK JP Regular" w:asciiTheme="minorEastAsia" w:hAnsiTheme="minorEastAsia" w:eastAsiaTheme="minorEastAsia"/>
          <w:color w:val="auto"/>
          <w:kern w:val="0"/>
          <w:sz w:val="36"/>
          <w:szCs w:val="36"/>
          <w:lang w:val="zh-CN" w:bidi="zh-CN"/>
        </w:rPr>
        <w:t>20</w:t>
      </w:r>
      <w:r>
        <w:rPr>
          <w:rFonts w:hint="eastAsia" w:cs="Noto Sans CJK JP Regular" w:asciiTheme="minorEastAsia" w:hAnsiTheme="minorEastAsia" w:eastAsiaTheme="minorEastAsia"/>
          <w:color w:val="auto"/>
          <w:kern w:val="0"/>
          <w:sz w:val="36"/>
          <w:szCs w:val="36"/>
          <w:lang w:val="zh-CN" w:bidi="zh-CN"/>
        </w:rPr>
        <w:t>22</w:t>
      </w:r>
      <w:r>
        <w:rPr>
          <w:rFonts w:cs="Noto Sans CJK JP Regular" w:asciiTheme="minorEastAsia" w:hAnsiTheme="minorEastAsia" w:eastAsiaTheme="minorEastAsia"/>
          <w:color w:val="auto"/>
          <w:kern w:val="0"/>
          <w:sz w:val="36"/>
          <w:szCs w:val="36"/>
          <w:lang w:val="zh-CN" w:bidi="zh-CN"/>
        </w:rPr>
        <w:t>年</w:t>
      </w:r>
      <w:r>
        <w:rPr>
          <w:rFonts w:hint="eastAsia" w:cs="Noto Sans CJK JP Regular" w:asciiTheme="minorEastAsia" w:hAnsiTheme="minorEastAsia" w:eastAsiaTheme="minorEastAsia"/>
          <w:color w:val="auto"/>
          <w:kern w:val="0"/>
          <w:sz w:val="36"/>
          <w:szCs w:val="36"/>
          <w:lang w:val="zh-CN" w:bidi="zh-CN"/>
        </w:rPr>
        <w:t>6</w:t>
      </w:r>
      <w:r>
        <w:rPr>
          <w:rFonts w:cs="Noto Sans CJK JP Regular" w:asciiTheme="minorEastAsia" w:hAnsiTheme="minorEastAsia" w:eastAsiaTheme="minorEastAsia"/>
          <w:color w:val="auto"/>
          <w:kern w:val="0"/>
          <w:sz w:val="36"/>
          <w:szCs w:val="36"/>
          <w:lang w:val="zh-CN" w:bidi="zh-CN"/>
        </w:rPr>
        <w:t>月</w:t>
      </w:r>
    </w:p>
    <w:p>
      <w:pPr>
        <w:spacing w:line="560" w:lineRule="exact"/>
        <w:ind w:left="18" w:hanging="18" w:hangingChars="4"/>
        <w:jc w:val="center"/>
        <w:rPr>
          <w:rFonts w:asciiTheme="minorEastAsia" w:hAnsiTheme="minorEastAsia" w:eastAsiaTheme="minorEastAsia"/>
          <w:b/>
          <w:sz w:val="32"/>
          <w:szCs w:val="32"/>
        </w:rPr>
      </w:pPr>
      <w:r>
        <w:rPr>
          <w:rFonts w:asciiTheme="minorEastAsia" w:hAnsiTheme="minorEastAsia" w:eastAsiaTheme="minorEastAsia"/>
          <w:b/>
          <w:color w:val="auto"/>
          <w:sz w:val="44"/>
          <w:szCs w:val="44"/>
        </w:rPr>
        <w:br w:type="page"/>
      </w:r>
      <w:r>
        <w:rPr>
          <w:rFonts w:hint="eastAsia" w:asciiTheme="minorEastAsia" w:hAnsiTheme="minorEastAsia" w:eastAsiaTheme="minorEastAsia"/>
          <w:b/>
          <w:sz w:val="32"/>
          <w:szCs w:val="32"/>
        </w:rPr>
        <w:t>编制说明</w:t>
      </w:r>
    </w:p>
    <w:p>
      <w:pPr>
        <w:spacing w:after="0" w:line="560" w:lineRule="exact"/>
        <w:ind w:left="0" w:firstLine="0"/>
        <w:jc w:val="both"/>
        <w:rPr>
          <w:rFonts w:asciiTheme="minorEastAsia" w:hAnsiTheme="minorEastAsia" w:eastAsiaTheme="minorEastAsia"/>
          <w:b/>
          <w:color w:val="auto"/>
          <w:sz w:val="44"/>
          <w:szCs w:val="44"/>
        </w:rPr>
      </w:pPr>
    </w:p>
    <w:p>
      <w:pPr>
        <w:spacing w:after="0" w:line="560" w:lineRule="exact"/>
        <w:ind w:left="0" w:firstLine="480" w:firstLineChars="200"/>
        <w:jc w:val="both"/>
        <w:rPr>
          <w:rFonts w:asciiTheme="minorEastAsia" w:hAnsiTheme="minorEastAsia" w:eastAsiaTheme="minorEastAsia"/>
          <w:szCs w:val="24"/>
        </w:rPr>
      </w:pPr>
      <w:r>
        <w:rPr>
          <w:rFonts w:hint="eastAsia" w:asciiTheme="minorEastAsia" w:hAnsiTheme="minorEastAsia" w:eastAsiaTheme="minorEastAsia"/>
          <w:szCs w:val="24"/>
        </w:rPr>
        <w:t>构建安全生产风险管理和隐患治理双重预防体系是贯彻落实中共中央国务院关于推进安全生产领域改革发展的重要要求，是转变安全生产管理方式提高安全生产管理水平的重要途径，是有效防范和遏制安全生产重特大事故的重要举措。中电建冀交高速公路投资发展有限公司（以下简称“中电建冀交高投公司”）按照“标本兼治、综合治理、系统建设”的总要求，将安全生产风险管理和隐患治理作为当前和今后一段时期安全生产工作的重中之重，认真组织贯彻落实双控体系建设要求，积极推进安全生产风险管理和隐患治理机制建设，持续推动中电建冀交高投公司安全发展。</w:t>
      </w:r>
    </w:p>
    <w:p>
      <w:pPr>
        <w:spacing w:after="0" w:line="560" w:lineRule="exact"/>
        <w:ind w:left="0" w:firstLine="480" w:firstLineChars="200"/>
        <w:jc w:val="both"/>
        <w:rPr>
          <w:rFonts w:asciiTheme="minorEastAsia" w:hAnsiTheme="minorEastAsia" w:eastAsiaTheme="minorEastAsia"/>
          <w:szCs w:val="24"/>
        </w:rPr>
      </w:pPr>
      <w:r>
        <w:rPr>
          <w:rFonts w:hint="eastAsia" w:asciiTheme="minorEastAsia" w:hAnsiTheme="minorEastAsia" w:eastAsiaTheme="minorEastAsia"/>
          <w:szCs w:val="24"/>
        </w:rPr>
        <w:t>本手册是依据交通运输部《公路水路行业安全生产风险管理暂行办法》、《公路水路行业安全生产事故隐患治理暂行办法》、《河北省安全生产风险管控与隐患治理规定》等相关规定，以中电建冀交高投公司所属路段管理特点编制而成。手册中明确了风险、隐患的定义，各部室及各单位在风险管理和隐患排查治理中的职责，以及风险管理和隐患排查治理的流程、要求和标准等内容，用于规范和指导风险管理和事故隐患排查治理工作，达到降低风险，杜绝或减少隐患，降低生产安全事故发生的目的。</w:t>
      </w:r>
    </w:p>
    <w:p>
      <w:pPr>
        <w:spacing w:after="0" w:line="560" w:lineRule="exact"/>
        <w:ind w:left="0" w:firstLine="480" w:firstLineChars="200"/>
        <w:jc w:val="both"/>
        <w:rPr>
          <w:rFonts w:asciiTheme="minorEastAsia" w:hAnsiTheme="minorEastAsia" w:eastAsiaTheme="minorEastAsia"/>
          <w:szCs w:val="24"/>
        </w:rPr>
      </w:pPr>
      <w:r>
        <w:rPr>
          <w:rFonts w:hint="eastAsia" w:asciiTheme="minorEastAsia" w:hAnsiTheme="minorEastAsia" w:eastAsiaTheme="minorEastAsia"/>
          <w:szCs w:val="24"/>
        </w:rPr>
        <w:t>本篇是针对工程养护业务，辨识在工程养护设备设施使用及设备检维修、养护作业过程中存在的风险，对其进行风险评估，制定针对性的管控措施，明确管控层级和管控责任人。针对隐患排查治理，明确工程部、养护工区及关键岗位的隐患排查治理职责。本篇共分为三章，分别为概述、风险分级管控、隐患排查治理。</w:t>
      </w:r>
    </w:p>
    <w:p>
      <w:pPr>
        <w:spacing w:line="440" w:lineRule="exact"/>
        <w:ind w:left="208" w:firstLine="0"/>
        <w:jc w:val="center"/>
        <w:outlineLvl w:val="0"/>
        <w:rPr>
          <w:rFonts w:asciiTheme="majorEastAsia" w:hAnsiTheme="majorEastAsia" w:eastAsiaTheme="majorEastAsia"/>
          <w:sz w:val="28"/>
          <w:szCs w:val="28"/>
        </w:rPr>
      </w:pPr>
      <w:bookmarkStart w:id="0" w:name="_Toc3258835"/>
      <w:r>
        <w:rPr>
          <w:rFonts w:asciiTheme="minorEastAsia" w:hAnsiTheme="minorEastAsia" w:eastAsiaTheme="minorEastAsia"/>
          <w:b/>
          <w:color w:val="auto"/>
          <w:sz w:val="44"/>
          <w:szCs w:val="44"/>
        </w:rPr>
        <w:br w:type="page"/>
      </w:r>
      <w:bookmarkStart w:id="1" w:name="_Toc45633771"/>
      <w:bookmarkStart w:id="2" w:name="_Toc47536109"/>
      <w:bookmarkStart w:id="3" w:name="_Toc43030367"/>
      <w:bookmarkStart w:id="4" w:name="_Toc43030569"/>
      <w:bookmarkStart w:id="5" w:name="_Toc89090540"/>
      <w:bookmarkStart w:id="6" w:name="_Toc82685198"/>
      <w:bookmarkStart w:id="7" w:name="_Toc105769791"/>
      <w:bookmarkStart w:id="8" w:name="_Toc80176477"/>
      <w:bookmarkStart w:id="9" w:name="_Toc7522661"/>
      <w:bookmarkStart w:id="10" w:name="_Toc24398904"/>
      <w:bookmarkStart w:id="11" w:name="_Toc7522687"/>
      <w:bookmarkStart w:id="12" w:name="_Toc5204757"/>
      <w:bookmarkStart w:id="13" w:name="_Toc48508833"/>
      <w:r>
        <w:rPr>
          <w:rFonts w:hint="eastAsia" w:asciiTheme="minorEastAsia" w:hAnsiTheme="minorEastAsia" w:eastAsiaTheme="minorEastAsia"/>
          <w:b/>
          <w:color w:val="auto"/>
          <w:sz w:val="44"/>
          <w:szCs w:val="44"/>
        </w:rPr>
        <w:t>目</w:t>
      </w:r>
      <w:r>
        <w:rPr>
          <w:rFonts w:asciiTheme="minorEastAsia" w:hAnsiTheme="minorEastAsia" w:eastAsiaTheme="minorEastAsia"/>
          <w:b/>
          <w:color w:val="auto"/>
          <w:sz w:val="44"/>
          <w:szCs w:val="44"/>
        </w:rPr>
        <w:t xml:space="preserve">  </w:t>
      </w:r>
      <w:r>
        <w:rPr>
          <w:rFonts w:hint="eastAsia" w:asciiTheme="minorEastAsia" w:hAnsiTheme="minorEastAsia" w:eastAsiaTheme="minorEastAsia"/>
          <w:b/>
          <w:color w:val="auto"/>
          <w:sz w:val="44"/>
          <w:szCs w:val="44"/>
        </w:rPr>
        <w:t>录</w:t>
      </w:r>
      <w:bookmarkEnd w:id="0"/>
      <w:bookmarkEnd w:id="1"/>
      <w:bookmarkEnd w:id="2"/>
      <w:bookmarkEnd w:id="3"/>
      <w:bookmarkEnd w:id="4"/>
      <w:bookmarkEnd w:id="5"/>
      <w:bookmarkEnd w:id="6"/>
      <w:bookmarkEnd w:id="7"/>
      <w:bookmarkEnd w:id="8"/>
      <w:bookmarkEnd w:id="9"/>
      <w:bookmarkEnd w:id="10"/>
      <w:bookmarkEnd w:id="11"/>
      <w:bookmarkEnd w:id="12"/>
      <w:bookmarkEnd w:id="13"/>
      <w:r>
        <w:rPr>
          <w:rFonts w:cs="Times New Roman" w:asciiTheme="minorEastAsia" w:hAnsiTheme="minorEastAsia" w:eastAsiaTheme="minorEastAsia"/>
          <w:color w:val="auto"/>
          <w:sz w:val="44"/>
        </w:rPr>
        <w:t xml:space="preserve"> </w:t>
      </w:r>
      <w:r>
        <w:rPr>
          <w:rFonts w:cs="Times New Roman" w:asciiTheme="majorEastAsia" w:hAnsiTheme="majorEastAsia" w:eastAsiaTheme="majorEastAsia"/>
          <w:color w:val="auto"/>
          <w:sz w:val="28"/>
          <w:szCs w:val="28"/>
        </w:rPr>
        <w:fldChar w:fldCharType="begin"/>
      </w:r>
      <w:r>
        <w:rPr>
          <w:rFonts w:cs="Times New Roman" w:asciiTheme="majorEastAsia" w:hAnsiTheme="majorEastAsia" w:eastAsiaTheme="majorEastAsia"/>
          <w:color w:val="auto"/>
          <w:sz w:val="28"/>
          <w:szCs w:val="28"/>
        </w:rPr>
        <w:instrText xml:space="preserve"> TOC \o "1-3" \h \z \u </w:instrText>
      </w:r>
      <w:r>
        <w:rPr>
          <w:rFonts w:cs="Times New Roman" w:asciiTheme="majorEastAsia" w:hAnsiTheme="majorEastAsia" w:eastAsiaTheme="majorEastAsia"/>
          <w:color w:val="auto"/>
          <w:sz w:val="28"/>
          <w:szCs w:val="28"/>
        </w:rPr>
        <w:fldChar w:fldCharType="separate"/>
      </w:r>
    </w:p>
    <w:p>
      <w:pPr>
        <w:pStyle w:val="20"/>
        <w:tabs>
          <w:tab w:val="right" w:leader="dot" w:pos="8498"/>
        </w:tabs>
        <w:spacing w:line="360" w:lineRule="auto"/>
        <w:rPr>
          <w:rFonts w:asciiTheme="majorEastAsia" w:hAnsiTheme="majorEastAsia" w:eastAsiaTheme="majorEastAsia" w:cstheme="minorBidi"/>
          <w:b w:val="0"/>
          <w:bCs w:val="0"/>
          <w:caps w:val="0"/>
          <w:color w:val="auto"/>
          <w:sz w:val="28"/>
          <w:szCs w:val="28"/>
        </w:rPr>
      </w:pPr>
      <w:r>
        <w:fldChar w:fldCharType="begin"/>
      </w:r>
      <w:r>
        <w:instrText xml:space="preserve"> HYPERLINK \l "_Toc105769792" </w:instrText>
      </w:r>
      <w:r>
        <w:fldChar w:fldCharType="separate"/>
      </w:r>
      <w:r>
        <w:rPr>
          <w:rStyle w:val="36"/>
          <w:rFonts w:hint="eastAsia" w:cs="Calibri" w:asciiTheme="majorEastAsia" w:hAnsiTheme="majorEastAsia" w:eastAsiaTheme="majorEastAsia"/>
          <w:b w:val="0"/>
          <w:sz w:val="28"/>
          <w:szCs w:val="28"/>
        </w:rPr>
        <w:t>第一章</w:t>
      </w:r>
      <w:r>
        <w:rPr>
          <w:rStyle w:val="36"/>
          <w:rFonts w:cs="Calibri" w:asciiTheme="majorEastAsia" w:hAnsiTheme="majorEastAsia" w:eastAsiaTheme="majorEastAsia"/>
          <w:b w:val="0"/>
          <w:sz w:val="28"/>
          <w:szCs w:val="28"/>
        </w:rPr>
        <w:t xml:space="preserve"> </w:t>
      </w:r>
      <w:r>
        <w:rPr>
          <w:rStyle w:val="36"/>
          <w:rFonts w:hint="eastAsia" w:cs="Calibri" w:asciiTheme="majorEastAsia" w:hAnsiTheme="majorEastAsia" w:eastAsiaTheme="majorEastAsia"/>
          <w:b w:val="0"/>
          <w:sz w:val="28"/>
          <w:szCs w:val="28"/>
        </w:rPr>
        <w:t>概述</w:t>
      </w:r>
      <w:r>
        <w:rPr>
          <w:rFonts w:asciiTheme="majorEastAsia" w:hAnsiTheme="majorEastAsia" w:eastAsiaTheme="majorEastAsia"/>
          <w:b w:val="0"/>
          <w:sz w:val="28"/>
          <w:szCs w:val="28"/>
        </w:rPr>
        <w:tab/>
      </w:r>
      <w:r>
        <w:rPr>
          <w:rFonts w:asciiTheme="majorEastAsia" w:hAnsiTheme="majorEastAsia" w:eastAsiaTheme="majorEastAsia"/>
          <w:b w:val="0"/>
          <w:sz w:val="28"/>
          <w:szCs w:val="28"/>
        </w:rPr>
        <w:fldChar w:fldCharType="begin"/>
      </w:r>
      <w:r>
        <w:rPr>
          <w:rFonts w:asciiTheme="majorEastAsia" w:hAnsiTheme="majorEastAsia" w:eastAsiaTheme="majorEastAsia"/>
          <w:b w:val="0"/>
          <w:sz w:val="28"/>
          <w:szCs w:val="28"/>
        </w:rPr>
        <w:instrText xml:space="preserve"> PAGEREF _Toc105769792 \h </w:instrText>
      </w:r>
      <w:r>
        <w:rPr>
          <w:rFonts w:asciiTheme="majorEastAsia" w:hAnsiTheme="majorEastAsia" w:eastAsiaTheme="majorEastAsia"/>
          <w:b w:val="0"/>
          <w:sz w:val="28"/>
          <w:szCs w:val="28"/>
        </w:rPr>
        <w:fldChar w:fldCharType="separate"/>
      </w:r>
      <w:r>
        <w:rPr>
          <w:rFonts w:asciiTheme="majorEastAsia" w:hAnsiTheme="majorEastAsia" w:eastAsiaTheme="majorEastAsia"/>
          <w:b w:val="0"/>
          <w:sz w:val="28"/>
          <w:szCs w:val="28"/>
        </w:rPr>
        <w:t>4</w:t>
      </w:r>
      <w:r>
        <w:rPr>
          <w:rFonts w:asciiTheme="majorEastAsia" w:hAnsiTheme="majorEastAsia" w:eastAsiaTheme="majorEastAsia"/>
          <w:b w:val="0"/>
          <w:sz w:val="28"/>
          <w:szCs w:val="28"/>
        </w:rPr>
        <w:fldChar w:fldCharType="end"/>
      </w:r>
      <w:r>
        <w:rPr>
          <w:rFonts w:asciiTheme="majorEastAsia" w:hAnsiTheme="majorEastAsia" w:eastAsiaTheme="majorEastAsia"/>
          <w:b w:val="0"/>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"_Toc105769793" </w:instrText>
      </w:r>
      <w:r>
        <w:fldChar w:fldCharType="separate"/>
      </w:r>
      <w:r>
        <w:rPr>
          <w:rStyle w:val="36"/>
          <w:rFonts w:cs="Calibri" w:asciiTheme="majorEastAsia" w:hAnsiTheme="majorEastAsia" w:eastAsiaTheme="majorEastAsia"/>
          <w:sz w:val="28"/>
          <w:szCs w:val="28"/>
        </w:rPr>
        <w:t>1.1</w:t>
      </w:r>
      <w:r>
        <w:rPr>
          <w:rStyle w:val="36"/>
          <w:rFonts w:hint="eastAsia" w:cs="Calibri" w:asciiTheme="majorEastAsia" w:hAnsiTheme="majorEastAsia" w:eastAsiaTheme="majorEastAsia"/>
          <w:sz w:val="28"/>
          <w:szCs w:val="28"/>
        </w:rPr>
        <w:t>目标</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_Toc105769793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4</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"_Toc105769794" </w:instrText>
      </w:r>
      <w:r>
        <w:fldChar w:fldCharType="separate"/>
      </w:r>
      <w:r>
        <w:rPr>
          <w:rStyle w:val="36"/>
          <w:rFonts w:cs="Calibri" w:asciiTheme="majorEastAsia" w:hAnsiTheme="majorEastAsia" w:eastAsiaTheme="majorEastAsia"/>
          <w:sz w:val="28"/>
          <w:szCs w:val="28"/>
        </w:rPr>
        <w:t>1.2</w:t>
      </w:r>
      <w:r>
        <w:rPr>
          <w:rStyle w:val="36"/>
          <w:rFonts w:hint="eastAsia" w:cs="Calibri" w:asciiTheme="majorEastAsia" w:hAnsiTheme="majorEastAsia" w:eastAsiaTheme="majorEastAsia"/>
          <w:sz w:val="28"/>
          <w:szCs w:val="28"/>
        </w:rPr>
        <w:t>依据</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_Toc105769794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4</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"_Toc105769795" </w:instrText>
      </w:r>
      <w:r>
        <w:fldChar w:fldCharType="separate"/>
      </w:r>
      <w:r>
        <w:rPr>
          <w:rStyle w:val="36"/>
          <w:rFonts w:cs="Calibri" w:asciiTheme="majorEastAsia" w:hAnsiTheme="majorEastAsia" w:eastAsiaTheme="majorEastAsia"/>
          <w:sz w:val="28"/>
          <w:szCs w:val="28"/>
        </w:rPr>
        <w:t>1.3</w:t>
      </w:r>
      <w:r>
        <w:rPr>
          <w:rStyle w:val="36"/>
          <w:rFonts w:hint="eastAsia" w:cs="Calibri" w:asciiTheme="majorEastAsia" w:hAnsiTheme="majorEastAsia" w:eastAsiaTheme="majorEastAsia"/>
          <w:sz w:val="28"/>
          <w:szCs w:val="28"/>
        </w:rPr>
        <w:t>组织机构及职责</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_Toc105769795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5</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"_Toc105769796" </w:instrText>
      </w:r>
      <w:r>
        <w:fldChar w:fldCharType="separate"/>
      </w:r>
      <w:r>
        <w:rPr>
          <w:rStyle w:val="36"/>
          <w:rFonts w:cs="Calibri" w:asciiTheme="majorEastAsia" w:hAnsiTheme="majorEastAsia" w:eastAsiaTheme="majorEastAsia"/>
          <w:sz w:val="28"/>
          <w:szCs w:val="28"/>
        </w:rPr>
        <w:t>1.4</w:t>
      </w:r>
      <w:r>
        <w:rPr>
          <w:rStyle w:val="36"/>
          <w:rFonts w:hint="eastAsia" w:cs="Calibri" w:asciiTheme="majorEastAsia" w:hAnsiTheme="majorEastAsia" w:eastAsiaTheme="majorEastAsia"/>
          <w:sz w:val="28"/>
          <w:szCs w:val="28"/>
        </w:rPr>
        <w:t>概况</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_Toc105769796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7</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0"/>
        <w:tabs>
          <w:tab w:val="right" w:leader="dot" w:pos="8498"/>
        </w:tabs>
        <w:spacing w:line="360" w:lineRule="auto"/>
        <w:rPr>
          <w:rFonts w:asciiTheme="majorEastAsia" w:hAnsiTheme="majorEastAsia" w:eastAsiaTheme="majorEastAsia" w:cstheme="minorBidi"/>
          <w:b w:val="0"/>
          <w:bCs w:val="0"/>
          <w:caps w:val="0"/>
          <w:color w:val="auto"/>
          <w:sz w:val="28"/>
          <w:szCs w:val="28"/>
        </w:rPr>
      </w:pPr>
      <w:r>
        <w:fldChar w:fldCharType="begin"/>
      </w:r>
      <w:r>
        <w:instrText xml:space="preserve"> HYPERLINK \l "_Toc105769797" </w:instrText>
      </w:r>
      <w:r>
        <w:fldChar w:fldCharType="separate"/>
      </w:r>
      <w:r>
        <w:rPr>
          <w:rStyle w:val="36"/>
          <w:rFonts w:hint="eastAsia" w:cs="Calibri" w:asciiTheme="majorEastAsia" w:hAnsiTheme="majorEastAsia" w:eastAsiaTheme="majorEastAsia"/>
          <w:b w:val="0"/>
          <w:sz w:val="28"/>
          <w:szCs w:val="28"/>
        </w:rPr>
        <w:t>第二章</w:t>
      </w:r>
      <w:r>
        <w:rPr>
          <w:rStyle w:val="36"/>
          <w:rFonts w:cs="Calibri" w:asciiTheme="majorEastAsia" w:hAnsiTheme="majorEastAsia" w:eastAsiaTheme="majorEastAsia"/>
          <w:b w:val="0"/>
          <w:sz w:val="28"/>
          <w:szCs w:val="28"/>
        </w:rPr>
        <w:t xml:space="preserve"> </w:t>
      </w:r>
      <w:r>
        <w:rPr>
          <w:rStyle w:val="36"/>
          <w:rFonts w:hint="eastAsia" w:cs="Calibri" w:asciiTheme="majorEastAsia" w:hAnsiTheme="majorEastAsia" w:eastAsiaTheme="majorEastAsia"/>
          <w:b w:val="0"/>
          <w:sz w:val="28"/>
          <w:szCs w:val="28"/>
        </w:rPr>
        <w:t>风险分级管控</w:t>
      </w:r>
      <w:r>
        <w:rPr>
          <w:rFonts w:asciiTheme="majorEastAsia" w:hAnsiTheme="majorEastAsia" w:eastAsiaTheme="majorEastAsia"/>
          <w:b w:val="0"/>
          <w:sz w:val="28"/>
          <w:szCs w:val="28"/>
        </w:rPr>
        <w:tab/>
      </w:r>
      <w:r>
        <w:rPr>
          <w:rFonts w:asciiTheme="majorEastAsia" w:hAnsiTheme="majorEastAsia" w:eastAsiaTheme="majorEastAsia"/>
          <w:b w:val="0"/>
          <w:sz w:val="28"/>
          <w:szCs w:val="28"/>
        </w:rPr>
        <w:fldChar w:fldCharType="begin"/>
      </w:r>
      <w:r>
        <w:rPr>
          <w:rFonts w:asciiTheme="majorEastAsia" w:hAnsiTheme="majorEastAsia" w:eastAsiaTheme="majorEastAsia"/>
          <w:b w:val="0"/>
          <w:sz w:val="28"/>
          <w:szCs w:val="28"/>
        </w:rPr>
        <w:instrText xml:space="preserve"> PAGEREF _Toc105769797 \h </w:instrText>
      </w:r>
      <w:r>
        <w:rPr>
          <w:rFonts w:asciiTheme="majorEastAsia" w:hAnsiTheme="majorEastAsia" w:eastAsiaTheme="majorEastAsia"/>
          <w:b w:val="0"/>
          <w:sz w:val="28"/>
          <w:szCs w:val="28"/>
        </w:rPr>
        <w:fldChar w:fldCharType="separate"/>
      </w:r>
      <w:r>
        <w:rPr>
          <w:rFonts w:asciiTheme="majorEastAsia" w:hAnsiTheme="majorEastAsia" w:eastAsiaTheme="majorEastAsia"/>
          <w:b w:val="0"/>
          <w:sz w:val="28"/>
          <w:szCs w:val="28"/>
        </w:rPr>
        <w:t>10</w:t>
      </w:r>
      <w:r>
        <w:rPr>
          <w:rFonts w:asciiTheme="majorEastAsia" w:hAnsiTheme="majorEastAsia" w:eastAsiaTheme="majorEastAsia"/>
          <w:b w:val="0"/>
          <w:sz w:val="28"/>
          <w:szCs w:val="28"/>
        </w:rPr>
        <w:fldChar w:fldCharType="end"/>
      </w:r>
      <w:r>
        <w:rPr>
          <w:rFonts w:asciiTheme="majorEastAsia" w:hAnsiTheme="majorEastAsia" w:eastAsiaTheme="majorEastAsia"/>
          <w:b w:val="0"/>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"_Toc105769798" </w:instrText>
      </w:r>
      <w:r>
        <w:fldChar w:fldCharType="separate"/>
      </w:r>
      <w:r>
        <w:rPr>
          <w:rStyle w:val="36"/>
          <w:rFonts w:cs="Calibri" w:asciiTheme="majorEastAsia" w:hAnsiTheme="majorEastAsia" w:eastAsiaTheme="majorEastAsia"/>
          <w:sz w:val="28"/>
          <w:szCs w:val="28"/>
        </w:rPr>
        <w:t>2.1</w:t>
      </w:r>
      <w:r>
        <w:rPr>
          <w:rStyle w:val="36"/>
          <w:rFonts w:hint="eastAsia" w:cs="Calibri" w:asciiTheme="majorEastAsia" w:hAnsiTheme="majorEastAsia" w:eastAsiaTheme="majorEastAsia"/>
          <w:sz w:val="28"/>
          <w:szCs w:val="28"/>
        </w:rPr>
        <w:t>风险分级管控清单</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_Toc105769798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10</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13"/>
        <w:tabs>
          <w:tab w:val="right" w:leader="dot" w:pos="8498"/>
        </w:tabs>
        <w:spacing w:line="360" w:lineRule="auto"/>
        <w:rPr>
          <w:rFonts w:asciiTheme="majorEastAsia" w:hAnsiTheme="majorEastAsia" w:eastAsiaTheme="majorEastAsia" w:cstheme="minorBidi"/>
          <w:i w:val="0"/>
          <w:iCs w:val="0"/>
          <w:color w:val="auto"/>
          <w:sz w:val="28"/>
          <w:szCs w:val="28"/>
        </w:rPr>
      </w:pPr>
      <w:r>
        <w:fldChar w:fldCharType="begin"/>
      </w:r>
      <w:r>
        <w:instrText xml:space="preserve"> HYPERLINK \l "_Toc105769799" </w:instrText>
      </w:r>
      <w:r>
        <w:fldChar w:fldCharType="separate"/>
      </w:r>
      <w:r>
        <w:rPr>
          <w:rStyle w:val="36"/>
          <w:rFonts w:cs="Calibri" w:asciiTheme="majorEastAsia" w:hAnsiTheme="majorEastAsia" w:eastAsiaTheme="majorEastAsia"/>
          <w:i w:val="0"/>
          <w:sz w:val="28"/>
          <w:szCs w:val="28"/>
        </w:rPr>
        <w:t>2.1.1</w:t>
      </w:r>
      <w:r>
        <w:rPr>
          <w:rStyle w:val="36"/>
          <w:rFonts w:hint="eastAsia" w:cs="Calibri" w:asciiTheme="majorEastAsia" w:hAnsiTheme="majorEastAsia" w:eastAsiaTheme="majorEastAsia"/>
          <w:i w:val="0"/>
          <w:sz w:val="28"/>
          <w:szCs w:val="28"/>
        </w:rPr>
        <w:t>工区院区</w:t>
      </w:r>
      <w:r>
        <w:rPr>
          <w:rFonts w:asciiTheme="majorEastAsia" w:hAnsiTheme="majorEastAsia" w:eastAsiaTheme="majorEastAsia"/>
          <w:i w:val="0"/>
          <w:sz w:val="28"/>
          <w:szCs w:val="28"/>
        </w:rPr>
        <w:tab/>
      </w:r>
      <w:r>
        <w:rPr>
          <w:rFonts w:asciiTheme="majorEastAsia" w:hAnsiTheme="majorEastAsia" w:eastAsiaTheme="majorEastAsia"/>
          <w:i w:val="0"/>
          <w:sz w:val="28"/>
          <w:szCs w:val="28"/>
        </w:rPr>
        <w:fldChar w:fldCharType="begin"/>
      </w:r>
      <w:r>
        <w:rPr>
          <w:rFonts w:asciiTheme="majorEastAsia" w:hAnsiTheme="majorEastAsia" w:eastAsiaTheme="majorEastAsia"/>
          <w:i w:val="0"/>
          <w:sz w:val="28"/>
          <w:szCs w:val="28"/>
        </w:rPr>
        <w:instrText xml:space="preserve"> PAGEREF _Toc105769799 \h </w:instrText>
      </w:r>
      <w:r>
        <w:rPr>
          <w:rFonts w:asciiTheme="majorEastAsia" w:hAnsiTheme="majorEastAsia" w:eastAsiaTheme="majorEastAsia"/>
          <w:i w:val="0"/>
          <w:sz w:val="28"/>
          <w:szCs w:val="28"/>
        </w:rPr>
        <w:fldChar w:fldCharType="separate"/>
      </w:r>
      <w:r>
        <w:rPr>
          <w:rFonts w:asciiTheme="majorEastAsia" w:hAnsiTheme="majorEastAsia" w:eastAsiaTheme="majorEastAsia"/>
          <w:i w:val="0"/>
          <w:sz w:val="28"/>
          <w:szCs w:val="28"/>
        </w:rPr>
        <w:t>11</w:t>
      </w:r>
      <w:r>
        <w:rPr>
          <w:rFonts w:asciiTheme="majorEastAsia" w:hAnsiTheme="majorEastAsia" w:eastAsiaTheme="majorEastAsia"/>
          <w:i w:val="0"/>
          <w:sz w:val="28"/>
          <w:szCs w:val="28"/>
        </w:rPr>
        <w:fldChar w:fldCharType="end"/>
      </w:r>
      <w:r>
        <w:rPr>
          <w:rFonts w:asciiTheme="majorEastAsia" w:hAnsiTheme="majorEastAsia" w:eastAsiaTheme="majorEastAsia"/>
          <w:i w:val="0"/>
          <w:sz w:val="28"/>
          <w:szCs w:val="28"/>
        </w:rPr>
        <w:fldChar w:fldCharType="end"/>
      </w:r>
    </w:p>
    <w:p>
      <w:pPr>
        <w:pStyle w:val="13"/>
        <w:tabs>
          <w:tab w:val="right" w:leader="dot" w:pos="8498"/>
        </w:tabs>
        <w:spacing w:line="360" w:lineRule="auto"/>
        <w:rPr>
          <w:rFonts w:asciiTheme="majorEastAsia" w:hAnsiTheme="majorEastAsia" w:eastAsiaTheme="majorEastAsia" w:cstheme="minorBidi"/>
          <w:i w:val="0"/>
          <w:iCs w:val="0"/>
          <w:color w:val="auto"/>
          <w:sz w:val="28"/>
          <w:szCs w:val="28"/>
        </w:rPr>
      </w:pPr>
      <w:r>
        <w:fldChar w:fldCharType="begin"/>
      </w:r>
      <w:r>
        <w:instrText xml:space="preserve"> HYPERLINK \l "_Toc105769800" </w:instrText>
      </w:r>
      <w:r>
        <w:fldChar w:fldCharType="separate"/>
      </w:r>
      <w:r>
        <w:rPr>
          <w:rStyle w:val="36"/>
          <w:rFonts w:cs="Calibri" w:asciiTheme="majorEastAsia" w:hAnsiTheme="majorEastAsia" w:eastAsiaTheme="majorEastAsia"/>
          <w:i w:val="0"/>
          <w:sz w:val="28"/>
          <w:szCs w:val="28"/>
        </w:rPr>
        <w:t>2.1.2</w:t>
      </w:r>
      <w:r>
        <w:rPr>
          <w:rStyle w:val="36"/>
          <w:rFonts w:hint="eastAsia" w:cs="Calibri" w:asciiTheme="majorEastAsia" w:hAnsiTheme="majorEastAsia" w:eastAsiaTheme="majorEastAsia"/>
          <w:i w:val="0"/>
          <w:sz w:val="28"/>
          <w:szCs w:val="28"/>
        </w:rPr>
        <w:t>养护作业</w:t>
      </w:r>
      <w:r>
        <w:rPr>
          <w:rFonts w:asciiTheme="majorEastAsia" w:hAnsiTheme="majorEastAsia" w:eastAsiaTheme="majorEastAsia"/>
          <w:i w:val="0"/>
          <w:sz w:val="28"/>
          <w:szCs w:val="28"/>
        </w:rPr>
        <w:tab/>
      </w:r>
      <w:r>
        <w:rPr>
          <w:rFonts w:asciiTheme="majorEastAsia" w:hAnsiTheme="majorEastAsia" w:eastAsiaTheme="majorEastAsia"/>
          <w:i w:val="0"/>
          <w:sz w:val="28"/>
          <w:szCs w:val="28"/>
        </w:rPr>
        <w:fldChar w:fldCharType="begin"/>
      </w:r>
      <w:r>
        <w:rPr>
          <w:rFonts w:asciiTheme="majorEastAsia" w:hAnsiTheme="majorEastAsia" w:eastAsiaTheme="majorEastAsia"/>
          <w:i w:val="0"/>
          <w:sz w:val="28"/>
          <w:szCs w:val="28"/>
        </w:rPr>
        <w:instrText xml:space="preserve"> PAGEREF _Toc105769800 \h </w:instrText>
      </w:r>
      <w:r>
        <w:rPr>
          <w:rFonts w:asciiTheme="majorEastAsia" w:hAnsiTheme="majorEastAsia" w:eastAsiaTheme="majorEastAsia"/>
          <w:i w:val="0"/>
          <w:sz w:val="28"/>
          <w:szCs w:val="28"/>
        </w:rPr>
        <w:fldChar w:fldCharType="separate"/>
      </w:r>
      <w:r>
        <w:rPr>
          <w:rFonts w:asciiTheme="majorEastAsia" w:hAnsiTheme="majorEastAsia" w:eastAsiaTheme="majorEastAsia"/>
          <w:i w:val="0"/>
          <w:sz w:val="28"/>
          <w:szCs w:val="28"/>
        </w:rPr>
        <w:t>23</w:t>
      </w:r>
      <w:r>
        <w:rPr>
          <w:rFonts w:asciiTheme="majorEastAsia" w:hAnsiTheme="majorEastAsia" w:eastAsiaTheme="majorEastAsia"/>
          <w:i w:val="0"/>
          <w:sz w:val="28"/>
          <w:szCs w:val="28"/>
        </w:rPr>
        <w:fldChar w:fldCharType="end"/>
      </w:r>
      <w:r>
        <w:rPr>
          <w:rFonts w:asciiTheme="majorEastAsia" w:hAnsiTheme="majorEastAsia" w:eastAsiaTheme="majorEastAsia"/>
          <w:i w:val="0"/>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"_Toc105769801" </w:instrText>
      </w:r>
      <w:r>
        <w:fldChar w:fldCharType="separate"/>
      </w:r>
      <w:r>
        <w:rPr>
          <w:rStyle w:val="36"/>
          <w:rFonts w:cs="Calibri" w:asciiTheme="majorEastAsia" w:hAnsiTheme="majorEastAsia" w:eastAsiaTheme="majorEastAsia"/>
          <w:sz w:val="28"/>
          <w:szCs w:val="28"/>
        </w:rPr>
        <w:t>2.2</w:t>
      </w:r>
      <w:r>
        <w:rPr>
          <w:rStyle w:val="36"/>
          <w:rFonts w:hint="eastAsia" w:cs="Calibri" w:asciiTheme="majorEastAsia" w:hAnsiTheme="majorEastAsia" w:eastAsiaTheme="majorEastAsia"/>
          <w:sz w:val="28"/>
          <w:szCs w:val="28"/>
        </w:rPr>
        <w:t>风险告知牌</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_Toc105769801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57</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"_Toc105769802" </w:instrText>
      </w:r>
      <w:r>
        <w:fldChar w:fldCharType="separate"/>
      </w:r>
      <w:r>
        <w:rPr>
          <w:rStyle w:val="36"/>
          <w:rFonts w:cs="Calibri" w:asciiTheme="majorEastAsia" w:hAnsiTheme="majorEastAsia" w:eastAsiaTheme="majorEastAsia"/>
          <w:sz w:val="28"/>
          <w:szCs w:val="28"/>
        </w:rPr>
        <w:t>2.3</w:t>
      </w:r>
      <w:r>
        <w:rPr>
          <w:rStyle w:val="36"/>
          <w:rFonts w:hint="eastAsia" w:cs="Calibri" w:asciiTheme="majorEastAsia" w:hAnsiTheme="majorEastAsia" w:eastAsiaTheme="majorEastAsia"/>
          <w:sz w:val="28"/>
          <w:szCs w:val="28"/>
        </w:rPr>
        <w:t>岗位风险告知卡</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_Toc105769802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68</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0"/>
        <w:tabs>
          <w:tab w:val="right" w:leader="dot" w:pos="8498"/>
        </w:tabs>
        <w:spacing w:line="360" w:lineRule="auto"/>
        <w:rPr>
          <w:rFonts w:asciiTheme="majorEastAsia" w:hAnsiTheme="majorEastAsia" w:eastAsiaTheme="majorEastAsia" w:cstheme="minorBidi"/>
          <w:b w:val="0"/>
          <w:bCs w:val="0"/>
          <w:caps w:val="0"/>
          <w:color w:val="auto"/>
          <w:sz w:val="28"/>
          <w:szCs w:val="28"/>
        </w:rPr>
      </w:pPr>
      <w:r>
        <w:fldChar w:fldCharType="begin"/>
      </w:r>
      <w:r>
        <w:instrText xml:space="preserve"> HYPERLINK \l "_Toc105769803" </w:instrText>
      </w:r>
      <w:r>
        <w:fldChar w:fldCharType="separate"/>
      </w:r>
      <w:r>
        <w:rPr>
          <w:rStyle w:val="36"/>
          <w:rFonts w:hint="eastAsia" w:cs="Calibri" w:asciiTheme="majorEastAsia" w:hAnsiTheme="majorEastAsia" w:eastAsiaTheme="majorEastAsia"/>
          <w:b w:val="0"/>
          <w:sz w:val="28"/>
          <w:szCs w:val="28"/>
        </w:rPr>
        <w:t>第三章</w:t>
      </w:r>
      <w:r>
        <w:rPr>
          <w:rStyle w:val="36"/>
          <w:rFonts w:cs="Calibri" w:asciiTheme="majorEastAsia" w:hAnsiTheme="majorEastAsia" w:eastAsiaTheme="majorEastAsia"/>
          <w:b w:val="0"/>
          <w:sz w:val="28"/>
          <w:szCs w:val="28"/>
        </w:rPr>
        <w:t xml:space="preserve"> </w:t>
      </w:r>
      <w:r>
        <w:rPr>
          <w:rStyle w:val="36"/>
          <w:rFonts w:hint="eastAsia" w:cs="Calibri" w:asciiTheme="majorEastAsia" w:hAnsiTheme="majorEastAsia" w:eastAsiaTheme="majorEastAsia"/>
          <w:b w:val="0"/>
          <w:sz w:val="28"/>
          <w:szCs w:val="28"/>
        </w:rPr>
        <w:t>隐患排查治理</w:t>
      </w:r>
      <w:r>
        <w:rPr>
          <w:rFonts w:asciiTheme="majorEastAsia" w:hAnsiTheme="majorEastAsia" w:eastAsiaTheme="majorEastAsia"/>
          <w:b w:val="0"/>
          <w:sz w:val="28"/>
          <w:szCs w:val="28"/>
        </w:rPr>
        <w:tab/>
      </w:r>
      <w:r>
        <w:rPr>
          <w:rFonts w:asciiTheme="majorEastAsia" w:hAnsiTheme="majorEastAsia" w:eastAsiaTheme="majorEastAsia"/>
          <w:b w:val="0"/>
          <w:sz w:val="28"/>
          <w:szCs w:val="28"/>
        </w:rPr>
        <w:fldChar w:fldCharType="begin"/>
      </w:r>
      <w:r>
        <w:rPr>
          <w:rFonts w:asciiTheme="majorEastAsia" w:hAnsiTheme="majorEastAsia" w:eastAsiaTheme="majorEastAsia"/>
          <w:b w:val="0"/>
          <w:sz w:val="28"/>
          <w:szCs w:val="28"/>
        </w:rPr>
        <w:instrText xml:space="preserve"> PAGEREF _Toc105769803 \h </w:instrText>
      </w:r>
      <w:r>
        <w:rPr>
          <w:rFonts w:asciiTheme="majorEastAsia" w:hAnsiTheme="majorEastAsia" w:eastAsiaTheme="majorEastAsia"/>
          <w:b w:val="0"/>
          <w:sz w:val="28"/>
          <w:szCs w:val="28"/>
        </w:rPr>
        <w:fldChar w:fldCharType="separate"/>
      </w:r>
      <w:r>
        <w:rPr>
          <w:rFonts w:asciiTheme="majorEastAsia" w:hAnsiTheme="majorEastAsia" w:eastAsiaTheme="majorEastAsia"/>
          <w:b w:val="0"/>
          <w:sz w:val="28"/>
          <w:szCs w:val="28"/>
        </w:rPr>
        <w:t>74</w:t>
      </w:r>
      <w:r>
        <w:rPr>
          <w:rFonts w:asciiTheme="majorEastAsia" w:hAnsiTheme="majorEastAsia" w:eastAsiaTheme="majorEastAsia"/>
          <w:b w:val="0"/>
          <w:sz w:val="28"/>
          <w:szCs w:val="28"/>
        </w:rPr>
        <w:fldChar w:fldCharType="end"/>
      </w:r>
      <w:r>
        <w:rPr>
          <w:rFonts w:asciiTheme="majorEastAsia" w:hAnsiTheme="majorEastAsia" w:eastAsiaTheme="majorEastAsia"/>
          <w:b w:val="0"/>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"_Toc105769804" </w:instrText>
      </w:r>
      <w:r>
        <w:fldChar w:fldCharType="separate"/>
      </w:r>
      <w:r>
        <w:rPr>
          <w:rStyle w:val="36"/>
          <w:rFonts w:cs="Calibri" w:asciiTheme="majorEastAsia" w:hAnsiTheme="majorEastAsia" w:eastAsiaTheme="majorEastAsia"/>
          <w:sz w:val="28"/>
          <w:szCs w:val="28"/>
        </w:rPr>
        <w:t>3.1</w:t>
      </w:r>
      <w:r>
        <w:rPr>
          <w:rStyle w:val="36"/>
          <w:rFonts w:hint="eastAsia" w:cs="Calibri" w:asciiTheme="majorEastAsia" w:hAnsiTheme="majorEastAsia" w:eastAsiaTheme="majorEastAsia"/>
          <w:sz w:val="28"/>
          <w:szCs w:val="28"/>
        </w:rPr>
        <w:t>隐患排查清单</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_Toc105769804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74</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13"/>
        <w:tabs>
          <w:tab w:val="right" w:leader="dot" w:pos="8498"/>
        </w:tabs>
        <w:spacing w:line="360" w:lineRule="auto"/>
        <w:rPr>
          <w:rFonts w:asciiTheme="majorEastAsia" w:hAnsiTheme="majorEastAsia" w:eastAsiaTheme="majorEastAsia" w:cstheme="minorBidi"/>
          <w:i w:val="0"/>
          <w:iCs w:val="0"/>
          <w:color w:val="auto"/>
          <w:sz w:val="28"/>
          <w:szCs w:val="28"/>
        </w:rPr>
      </w:pPr>
      <w:r>
        <w:fldChar w:fldCharType="begin"/>
      </w:r>
      <w:r>
        <w:instrText xml:space="preserve"> HYPERLINK \l "_Toc105769805" </w:instrText>
      </w:r>
      <w:r>
        <w:fldChar w:fldCharType="separate"/>
      </w:r>
      <w:r>
        <w:rPr>
          <w:rStyle w:val="36"/>
          <w:rFonts w:cs="宋体" w:asciiTheme="majorEastAsia" w:hAnsiTheme="majorEastAsia" w:eastAsiaTheme="majorEastAsia"/>
          <w:i w:val="0"/>
          <w:kern w:val="0"/>
          <w:sz w:val="28"/>
          <w:szCs w:val="28"/>
        </w:rPr>
        <w:t>3.1.1</w:t>
      </w:r>
      <w:r>
        <w:rPr>
          <w:rStyle w:val="36"/>
          <w:rFonts w:hint="eastAsia" w:cs="宋体" w:asciiTheme="majorEastAsia" w:hAnsiTheme="majorEastAsia" w:eastAsiaTheme="majorEastAsia"/>
          <w:i w:val="0"/>
          <w:kern w:val="0"/>
          <w:sz w:val="28"/>
          <w:szCs w:val="28"/>
        </w:rPr>
        <w:t>工区院区隐患排查清单</w:t>
      </w:r>
      <w:r>
        <w:rPr>
          <w:rFonts w:asciiTheme="majorEastAsia" w:hAnsiTheme="majorEastAsia" w:eastAsiaTheme="majorEastAsia"/>
          <w:i w:val="0"/>
          <w:sz w:val="28"/>
          <w:szCs w:val="28"/>
        </w:rPr>
        <w:tab/>
      </w:r>
      <w:r>
        <w:rPr>
          <w:rFonts w:asciiTheme="majorEastAsia" w:hAnsiTheme="majorEastAsia" w:eastAsiaTheme="majorEastAsia"/>
          <w:i w:val="0"/>
          <w:sz w:val="28"/>
          <w:szCs w:val="28"/>
        </w:rPr>
        <w:fldChar w:fldCharType="begin"/>
      </w:r>
      <w:r>
        <w:rPr>
          <w:rFonts w:asciiTheme="majorEastAsia" w:hAnsiTheme="majorEastAsia" w:eastAsiaTheme="majorEastAsia"/>
          <w:i w:val="0"/>
          <w:sz w:val="28"/>
          <w:szCs w:val="28"/>
        </w:rPr>
        <w:instrText xml:space="preserve"> PAGEREF _Toc105769805 \h </w:instrText>
      </w:r>
      <w:r>
        <w:rPr>
          <w:rFonts w:asciiTheme="majorEastAsia" w:hAnsiTheme="majorEastAsia" w:eastAsiaTheme="majorEastAsia"/>
          <w:i w:val="0"/>
          <w:sz w:val="28"/>
          <w:szCs w:val="28"/>
        </w:rPr>
        <w:fldChar w:fldCharType="separate"/>
      </w:r>
      <w:r>
        <w:rPr>
          <w:rFonts w:asciiTheme="majorEastAsia" w:hAnsiTheme="majorEastAsia" w:eastAsiaTheme="majorEastAsia"/>
          <w:i w:val="0"/>
          <w:sz w:val="28"/>
          <w:szCs w:val="28"/>
        </w:rPr>
        <w:t>75</w:t>
      </w:r>
      <w:r>
        <w:rPr>
          <w:rFonts w:asciiTheme="majorEastAsia" w:hAnsiTheme="majorEastAsia" w:eastAsiaTheme="majorEastAsia"/>
          <w:i w:val="0"/>
          <w:sz w:val="28"/>
          <w:szCs w:val="28"/>
        </w:rPr>
        <w:fldChar w:fldCharType="end"/>
      </w:r>
      <w:r>
        <w:rPr>
          <w:rFonts w:asciiTheme="majorEastAsia" w:hAnsiTheme="majorEastAsia" w:eastAsiaTheme="majorEastAsia"/>
          <w:i w:val="0"/>
          <w:sz w:val="28"/>
          <w:szCs w:val="28"/>
        </w:rPr>
        <w:fldChar w:fldCharType="end"/>
      </w:r>
    </w:p>
    <w:p>
      <w:pPr>
        <w:pStyle w:val="13"/>
        <w:tabs>
          <w:tab w:val="right" w:leader="dot" w:pos="8498"/>
        </w:tabs>
        <w:spacing w:line="360" w:lineRule="auto"/>
        <w:rPr>
          <w:rFonts w:asciiTheme="majorEastAsia" w:hAnsiTheme="majorEastAsia" w:eastAsiaTheme="majorEastAsia" w:cstheme="minorBidi"/>
          <w:i w:val="0"/>
          <w:iCs w:val="0"/>
          <w:color w:val="auto"/>
          <w:sz w:val="28"/>
          <w:szCs w:val="28"/>
        </w:rPr>
      </w:pPr>
      <w:r>
        <w:fldChar w:fldCharType="begin"/>
      </w:r>
      <w:r>
        <w:instrText xml:space="preserve"> HYPERLINK \l "_Toc105769806" </w:instrText>
      </w:r>
      <w:r>
        <w:fldChar w:fldCharType="separate"/>
      </w:r>
      <w:r>
        <w:rPr>
          <w:rStyle w:val="36"/>
          <w:rFonts w:cs="宋体" w:asciiTheme="majorEastAsia" w:hAnsiTheme="majorEastAsia" w:eastAsiaTheme="majorEastAsia"/>
          <w:i w:val="0"/>
          <w:kern w:val="0"/>
          <w:sz w:val="28"/>
          <w:szCs w:val="28"/>
        </w:rPr>
        <w:t>3.1.2</w:t>
      </w:r>
      <w:r>
        <w:rPr>
          <w:rStyle w:val="36"/>
          <w:rFonts w:hint="eastAsia" w:cs="宋体" w:asciiTheme="majorEastAsia" w:hAnsiTheme="majorEastAsia" w:eastAsiaTheme="majorEastAsia"/>
          <w:i w:val="0"/>
          <w:kern w:val="0"/>
          <w:sz w:val="28"/>
          <w:szCs w:val="28"/>
        </w:rPr>
        <w:t>养护作业隐患排查清单</w:t>
      </w:r>
      <w:r>
        <w:rPr>
          <w:rFonts w:asciiTheme="majorEastAsia" w:hAnsiTheme="majorEastAsia" w:eastAsiaTheme="majorEastAsia"/>
          <w:i w:val="0"/>
          <w:sz w:val="28"/>
          <w:szCs w:val="28"/>
        </w:rPr>
        <w:tab/>
      </w:r>
      <w:r>
        <w:rPr>
          <w:rFonts w:asciiTheme="majorEastAsia" w:hAnsiTheme="majorEastAsia" w:eastAsiaTheme="majorEastAsia"/>
          <w:i w:val="0"/>
          <w:sz w:val="28"/>
          <w:szCs w:val="28"/>
        </w:rPr>
        <w:fldChar w:fldCharType="begin"/>
      </w:r>
      <w:r>
        <w:rPr>
          <w:rFonts w:asciiTheme="majorEastAsia" w:hAnsiTheme="majorEastAsia" w:eastAsiaTheme="majorEastAsia"/>
          <w:i w:val="0"/>
          <w:sz w:val="28"/>
          <w:szCs w:val="28"/>
        </w:rPr>
        <w:instrText xml:space="preserve"> PAGEREF _Toc105769806 \h </w:instrText>
      </w:r>
      <w:r>
        <w:rPr>
          <w:rFonts w:asciiTheme="majorEastAsia" w:hAnsiTheme="majorEastAsia" w:eastAsiaTheme="majorEastAsia"/>
          <w:i w:val="0"/>
          <w:sz w:val="28"/>
          <w:szCs w:val="28"/>
        </w:rPr>
        <w:fldChar w:fldCharType="separate"/>
      </w:r>
      <w:r>
        <w:rPr>
          <w:rFonts w:asciiTheme="majorEastAsia" w:hAnsiTheme="majorEastAsia" w:eastAsiaTheme="majorEastAsia"/>
          <w:i w:val="0"/>
          <w:sz w:val="28"/>
          <w:szCs w:val="28"/>
        </w:rPr>
        <w:t>87</w:t>
      </w:r>
      <w:r>
        <w:rPr>
          <w:rFonts w:asciiTheme="majorEastAsia" w:hAnsiTheme="majorEastAsia" w:eastAsiaTheme="majorEastAsia"/>
          <w:i w:val="0"/>
          <w:sz w:val="28"/>
          <w:szCs w:val="28"/>
        </w:rPr>
        <w:fldChar w:fldCharType="end"/>
      </w:r>
      <w:r>
        <w:rPr>
          <w:rFonts w:asciiTheme="majorEastAsia" w:hAnsiTheme="majorEastAsia" w:eastAsiaTheme="majorEastAsia"/>
          <w:i w:val="0"/>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"_Toc105769807" </w:instrText>
      </w:r>
      <w:r>
        <w:fldChar w:fldCharType="separate"/>
      </w:r>
      <w:r>
        <w:rPr>
          <w:rStyle w:val="36"/>
          <w:rFonts w:cs="Calibri" w:asciiTheme="majorEastAsia" w:hAnsiTheme="majorEastAsia" w:eastAsiaTheme="majorEastAsia"/>
          <w:sz w:val="28"/>
          <w:szCs w:val="28"/>
        </w:rPr>
        <w:t>3.2</w:t>
      </w:r>
      <w:r>
        <w:rPr>
          <w:rStyle w:val="36"/>
          <w:rFonts w:hint="eastAsia" w:cs="Calibri" w:asciiTheme="majorEastAsia" w:hAnsiTheme="majorEastAsia" w:eastAsiaTheme="majorEastAsia"/>
          <w:sz w:val="28"/>
          <w:szCs w:val="28"/>
        </w:rPr>
        <w:t>日常隐患排查记录</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_Toc105769807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115</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"_Toc105769808" </w:instrText>
      </w:r>
      <w:r>
        <w:fldChar w:fldCharType="separate"/>
      </w:r>
      <w:r>
        <w:rPr>
          <w:rStyle w:val="36"/>
          <w:rFonts w:cs="Calibri" w:asciiTheme="majorEastAsia" w:hAnsiTheme="majorEastAsia" w:eastAsiaTheme="majorEastAsia"/>
          <w:sz w:val="28"/>
          <w:szCs w:val="28"/>
        </w:rPr>
        <w:t>3.3</w:t>
      </w:r>
      <w:r>
        <w:rPr>
          <w:rStyle w:val="36"/>
          <w:rFonts w:hint="eastAsia" w:cs="Calibri" w:asciiTheme="majorEastAsia" w:hAnsiTheme="majorEastAsia" w:eastAsiaTheme="majorEastAsia"/>
          <w:sz w:val="28"/>
          <w:szCs w:val="28"/>
        </w:rPr>
        <w:t>定期隐患排查记录</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_Toc105769808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127</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5"/>
        <w:tabs>
          <w:tab w:val="right" w:leader="dot" w:pos="8498"/>
        </w:tabs>
        <w:spacing w:line="360" w:lineRule="auto"/>
        <w:rPr>
          <w:rFonts w:asciiTheme="majorEastAsia" w:hAnsiTheme="majorEastAsia" w:eastAsiaTheme="majorEastAsia" w:cstheme="minorBidi"/>
          <w:smallCaps w:val="0"/>
          <w:color w:val="auto"/>
          <w:sz w:val="28"/>
          <w:szCs w:val="28"/>
        </w:rPr>
      </w:pPr>
      <w:r>
        <w:fldChar w:fldCharType="begin"/>
      </w:r>
      <w:r>
        <w:instrText xml:space="preserve"> HYPERLINK \l "_Toc105769809" </w:instrText>
      </w:r>
      <w:r>
        <w:fldChar w:fldCharType="separate"/>
      </w:r>
      <w:r>
        <w:rPr>
          <w:rStyle w:val="36"/>
          <w:rFonts w:cs="Calibri" w:asciiTheme="majorEastAsia" w:hAnsiTheme="majorEastAsia" w:eastAsiaTheme="majorEastAsia"/>
          <w:sz w:val="28"/>
          <w:szCs w:val="28"/>
        </w:rPr>
        <w:t>3.4</w:t>
      </w:r>
      <w:r>
        <w:rPr>
          <w:rStyle w:val="36"/>
          <w:rFonts w:hint="eastAsia" w:cs="Calibri" w:asciiTheme="majorEastAsia" w:hAnsiTheme="majorEastAsia" w:eastAsiaTheme="majorEastAsia"/>
          <w:sz w:val="28"/>
          <w:szCs w:val="28"/>
        </w:rPr>
        <w:t>专项隐患排查</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_Toc105769809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131</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13"/>
        <w:tabs>
          <w:tab w:val="right" w:leader="dot" w:pos="8498"/>
        </w:tabs>
        <w:spacing w:line="360" w:lineRule="auto"/>
        <w:rPr>
          <w:rFonts w:asciiTheme="majorEastAsia" w:hAnsiTheme="majorEastAsia" w:eastAsiaTheme="majorEastAsia" w:cstheme="minorBidi"/>
          <w:i w:val="0"/>
          <w:iCs w:val="0"/>
          <w:color w:val="auto"/>
          <w:sz w:val="28"/>
          <w:szCs w:val="28"/>
        </w:rPr>
      </w:pPr>
      <w:r>
        <w:fldChar w:fldCharType="begin"/>
      </w:r>
      <w:r>
        <w:instrText xml:space="preserve"> HYPERLINK \l "_Toc105769810" </w:instrText>
      </w:r>
      <w:r>
        <w:fldChar w:fldCharType="separate"/>
      </w:r>
      <w:r>
        <w:rPr>
          <w:rStyle w:val="36"/>
          <w:rFonts w:cs="宋体" w:asciiTheme="majorEastAsia" w:hAnsiTheme="majorEastAsia" w:eastAsiaTheme="majorEastAsia"/>
          <w:i w:val="0"/>
          <w:kern w:val="0"/>
          <w:sz w:val="28"/>
          <w:szCs w:val="28"/>
        </w:rPr>
        <w:t>3.4.1</w:t>
      </w:r>
      <w:r>
        <w:rPr>
          <w:rStyle w:val="36"/>
          <w:rFonts w:hint="eastAsia" w:cs="宋体" w:asciiTheme="majorEastAsia" w:hAnsiTheme="majorEastAsia" w:eastAsiaTheme="majorEastAsia"/>
          <w:i w:val="0"/>
          <w:kern w:val="0"/>
          <w:sz w:val="28"/>
          <w:szCs w:val="28"/>
        </w:rPr>
        <w:t>防汛专项隐患排查清单</w:t>
      </w:r>
      <w:r>
        <w:rPr>
          <w:rFonts w:asciiTheme="majorEastAsia" w:hAnsiTheme="majorEastAsia" w:eastAsiaTheme="majorEastAsia"/>
          <w:i w:val="0"/>
          <w:sz w:val="28"/>
          <w:szCs w:val="28"/>
        </w:rPr>
        <w:tab/>
      </w:r>
      <w:r>
        <w:rPr>
          <w:rFonts w:asciiTheme="majorEastAsia" w:hAnsiTheme="majorEastAsia" w:eastAsiaTheme="majorEastAsia"/>
          <w:i w:val="0"/>
          <w:sz w:val="28"/>
          <w:szCs w:val="28"/>
        </w:rPr>
        <w:fldChar w:fldCharType="begin"/>
      </w:r>
      <w:r>
        <w:rPr>
          <w:rFonts w:asciiTheme="majorEastAsia" w:hAnsiTheme="majorEastAsia" w:eastAsiaTheme="majorEastAsia"/>
          <w:i w:val="0"/>
          <w:sz w:val="28"/>
          <w:szCs w:val="28"/>
        </w:rPr>
        <w:instrText xml:space="preserve"> PAGEREF _Toc105769810 \h </w:instrText>
      </w:r>
      <w:r>
        <w:rPr>
          <w:rFonts w:asciiTheme="majorEastAsia" w:hAnsiTheme="majorEastAsia" w:eastAsiaTheme="majorEastAsia"/>
          <w:i w:val="0"/>
          <w:sz w:val="28"/>
          <w:szCs w:val="28"/>
        </w:rPr>
        <w:fldChar w:fldCharType="separate"/>
      </w:r>
      <w:r>
        <w:rPr>
          <w:rFonts w:asciiTheme="majorEastAsia" w:hAnsiTheme="majorEastAsia" w:eastAsiaTheme="majorEastAsia"/>
          <w:i w:val="0"/>
          <w:sz w:val="28"/>
          <w:szCs w:val="28"/>
        </w:rPr>
        <w:t>131</w:t>
      </w:r>
      <w:r>
        <w:rPr>
          <w:rFonts w:asciiTheme="majorEastAsia" w:hAnsiTheme="majorEastAsia" w:eastAsiaTheme="majorEastAsia"/>
          <w:i w:val="0"/>
          <w:sz w:val="28"/>
          <w:szCs w:val="28"/>
        </w:rPr>
        <w:fldChar w:fldCharType="end"/>
      </w:r>
      <w:r>
        <w:rPr>
          <w:rFonts w:asciiTheme="majorEastAsia" w:hAnsiTheme="majorEastAsia" w:eastAsiaTheme="majorEastAsia"/>
          <w:i w:val="0"/>
          <w:sz w:val="28"/>
          <w:szCs w:val="28"/>
        </w:rPr>
        <w:fldChar w:fldCharType="end"/>
      </w:r>
    </w:p>
    <w:p>
      <w:pPr>
        <w:pStyle w:val="13"/>
        <w:tabs>
          <w:tab w:val="right" w:leader="dot" w:pos="8498"/>
        </w:tabs>
        <w:spacing w:line="360" w:lineRule="auto"/>
        <w:rPr>
          <w:rFonts w:asciiTheme="majorEastAsia" w:hAnsiTheme="majorEastAsia" w:eastAsiaTheme="majorEastAsia" w:cstheme="minorBidi"/>
          <w:i w:val="0"/>
          <w:iCs w:val="0"/>
          <w:color w:val="auto"/>
          <w:sz w:val="28"/>
          <w:szCs w:val="28"/>
        </w:rPr>
      </w:pPr>
      <w:r>
        <w:fldChar w:fldCharType="begin"/>
      </w:r>
      <w:r>
        <w:instrText xml:space="preserve"> HYPERLINK \l "_Toc105769811" </w:instrText>
      </w:r>
      <w:r>
        <w:fldChar w:fldCharType="separate"/>
      </w:r>
      <w:r>
        <w:rPr>
          <w:rStyle w:val="36"/>
          <w:rFonts w:cs="宋体" w:asciiTheme="majorEastAsia" w:hAnsiTheme="majorEastAsia" w:eastAsiaTheme="majorEastAsia"/>
          <w:i w:val="0"/>
          <w:kern w:val="0"/>
          <w:sz w:val="28"/>
          <w:szCs w:val="28"/>
        </w:rPr>
        <w:t>3.4.2</w:t>
      </w:r>
      <w:r>
        <w:rPr>
          <w:rStyle w:val="36"/>
          <w:rFonts w:hint="eastAsia" w:cs="宋体" w:asciiTheme="majorEastAsia" w:hAnsiTheme="majorEastAsia" w:eastAsiaTheme="majorEastAsia"/>
          <w:i w:val="0"/>
          <w:kern w:val="0"/>
          <w:sz w:val="28"/>
          <w:szCs w:val="28"/>
        </w:rPr>
        <w:t>今冬明春防火专项隐患排查清单</w:t>
      </w:r>
      <w:r>
        <w:rPr>
          <w:rFonts w:asciiTheme="majorEastAsia" w:hAnsiTheme="majorEastAsia" w:eastAsiaTheme="majorEastAsia"/>
          <w:i w:val="0"/>
          <w:sz w:val="28"/>
          <w:szCs w:val="28"/>
        </w:rPr>
        <w:tab/>
      </w:r>
      <w:r>
        <w:rPr>
          <w:rFonts w:asciiTheme="majorEastAsia" w:hAnsiTheme="majorEastAsia" w:eastAsiaTheme="majorEastAsia"/>
          <w:i w:val="0"/>
          <w:sz w:val="28"/>
          <w:szCs w:val="28"/>
        </w:rPr>
        <w:fldChar w:fldCharType="begin"/>
      </w:r>
      <w:r>
        <w:rPr>
          <w:rFonts w:asciiTheme="majorEastAsia" w:hAnsiTheme="majorEastAsia" w:eastAsiaTheme="majorEastAsia"/>
          <w:i w:val="0"/>
          <w:sz w:val="28"/>
          <w:szCs w:val="28"/>
        </w:rPr>
        <w:instrText xml:space="preserve"> PAGEREF _Toc105769811 \h </w:instrText>
      </w:r>
      <w:r>
        <w:rPr>
          <w:rFonts w:asciiTheme="majorEastAsia" w:hAnsiTheme="majorEastAsia" w:eastAsiaTheme="majorEastAsia"/>
          <w:i w:val="0"/>
          <w:sz w:val="28"/>
          <w:szCs w:val="28"/>
        </w:rPr>
        <w:fldChar w:fldCharType="separate"/>
      </w:r>
      <w:r>
        <w:rPr>
          <w:rFonts w:asciiTheme="majorEastAsia" w:hAnsiTheme="majorEastAsia" w:eastAsiaTheme="majorEastAsia"/>
          <w:i w:val="0"/>
          <w:sz w:val="28"/>
          <w:szCs w:val="28"/>
        </w:rPr>
        <w:t>133</w:t>
      </w:r>
      <w:r>
        <w:rPr>
          <w:rFonts w:asciiTheme="majorEastAsia" w:hAnsiTheme="majorEastAsia" w:eastAsiaTheme="majorEastAsia"/>
          <w:i w:val="0"/>
          <w:sz w:val="28"/>
          <w:szCs w:val="28"/>
        </w:rPr>
        <w:fldChar w:fldCharType="end"/>
      </w:r>
      <w:r>
        <w:rPr>
          <w:rFonts w:asciiTheme="majorEastAsia" w:hAnsiTheme="majorEastAsia" w:eastAsiaTheme="majorEastAsia"/>
          <w:i w:val="0"/>
          <w:sz w:val="28"/>
          <w:szCs w:val="28"/>
        </w:rPr>
        <w:fldChar w:fldCharType="end"/>
      </w:r>
    </w:p>
    <w:p>
      <w:pPr>
        <w:pStyle w:val="13"/>
        <w:tabs>
          <w:tab w:val="right" w:leader="dot" w:pos="8498"/>
        </w:tabs>
        <w:spacing w:line="360" w:lineRule="auto"/>
        <w:rPr>
          <w:rFonts w:asciiTheme="majorEastAsia" w:hAnsiTheme="majorEastAsia" w:eastAsiaTheme="majorEastAsia" w:cstheme="minorBidi"/>
          <w:i w:val="0"/>
          <w:iCs w:val="0"/>
          <w:color w:val="auto"/>
          <w:sz w:val="28"/>
          <w:szCs w:val="28"/>
        </w:rPr>
      </w:pPr>
      <w:r>
        <w:fldChar w:fldCharType="begin"/>
      </w:r>
      <w:r>
        <w:instrText xml:space="preserve"> HYPERLINK \l "_Toc105769812" </w:instrText>
      </w:r>
      <w:r>
        <w:fldChar w:fldCharType="separate"/>
      </w:r>
      <w:r>
        <w:rPr>
          <w:rStyle w:val="36"/>
          <w:rFonts w:cs="宋体" w:asciiTheme="majorEastAsia" w:hAnsiTheme="majorEastAsia" w:eastAsiaTheme="majorEastAsia"/>
          <w:i w:val="0"/>
          <w:kern w:val="0"/>
          <w:sz w:val="28"/>
          <w:szCs w:val="28"/>
        </w:rPr>
        <w:t>3.4.3</w:t>
      </w:r>
      <w:r>
        <w:rPr>
          <w:rStyle w:val="36"/>
          <w:rFonts w:hint="eastAsia" w:cs="宋体" w:asciiTheme="majorEastAsia" w:hAnsiTheme="majorEastAsia" w:eastAsiaTheme="majorEastAsia"/>
          <w:i w:val="0"/>
          <w:kern w:val="0"/>
          <w:sz w:val="28"/>
          <w:szCs w:val="28"/>
        </w:rPr>
        <w:t>除雪专项隐患排查清单</w:t>
      </w:r>
      <w:r>
        <w:rPr>
          <w:rFonts w:asciiTheme="majorEastAsia" w:hAnsiTheme="majorEastAsia" w:eastAsiaTheme="majorEastAsia"/>
          <w:i w:val="0"/>
          <w:sz w:val="28"/>
          <w:szCs w:val="28"/>
        </w:rPr>
        <w:tab/>
      </w:r>
      <w:r>
        <w:rPr>
          <w:rFonts w:asciiTheme="majorEastAsia" w:hAnsiTheme="majorEastAsia" w:eastAsiaTheme="majorEastAsia"/>
          <w:i w:val="0"/>
          <w:sz w:val="28"/>
          <w:szCs w:val="28"/>
        </w:rPr>
        <w:fldChar w:fldCharType="begin"/>
      </w:r>
      <w:r>
        <w:rPr>
          <w:rFonts w:asciiTheme="majorEastAsia" w:hAnsiTheme="majorEastAsia" w:eastAsiaTheme="majorEastAsia"/>
          <w:i w:val="0"/>
          <w:sz w:val="28"/>
          <w:szCs w:val="28"/>
        </w:rPr>
        <w:instrText xml:space="preserve"> PAGEREF _Toc105769812 \h </w:instrText>
      </w:r>
      <w:r>
        <w:rPr>
          <w:rFonts w:asciiTheme="majorEastAsia" w:hAnsiTheme="majorEastAsia" w:eastAsiaTheme="majorEastAsia"/>
          <w:i w:val="0"/>
          <w:sz w:val="28"/>
          <w:szCs w:val="28"/>
        </w:rPr>
        <w:fldChar w:fldCharType="separate"/>
      </w:r>
      <w:r>
        <w:rPr>
          <w:rFonts w:asciiTheme="majorEastAsia" w:hAnsiTheme="majorEastAsia" w:eastAsiaTheme="majorEastAsia"/>
          <w:i w:val="0"/>
          <w:sz w:val="28"/>
          <w:szCs w:val="28"/>
        </w:rPr>
        <w:t>134</w:t>
      </w:r>
      <w:r>
        <w:rPr>
          <w:rFonts w:asciiTheme="majorEastAsia" w:hAnsiTheme="majorEastAsia" w:eastAsiaTheme="majorEastAsia"/>
          <w:i w:val="0"/>
          <w:sz w:val="28"/>
          <w:szCs w:val="28"/>
        </w:rPr>
        <w:fldChar w:fldCharType="end"/>
      </w:r>
      <w:r>
        <w:rPr>
          <w:rFonts w:asciiTheme="majorEastAsia" w:hAnsiTheme="majorEastAsia" w:eastAsiaTheme="majorEastAsia"/>
          <w:i w:val="0"/>
          <w:sz w:val="28"/>
          <w:szCs w:val="28"/>
        </w:rPr>
        <w:fldChar w:fldCharType="end"/>
      </w:r>
    </w:p>
    <w:p>
      <w:pPr>
        <w:pStyle w:val="13"/>
        <w:tabs>
          <w:tab w:val="right" w:leader="dot" w:pos="8498"/>
        </w:tabs>
        <w:spacing w:line="360" w:lineRule="auto"/>
        <w:rPr>
          <w:rFonts w:asciiTheme="majorEastAsia" w:hAnsiTheme="majorEastAsia" w:eastAsiaTheme="majorEastAsia" w:cstheme="minorBidi"/>
          <w:i w:val="0"/>
          <w:iCs w:val="0"/>
          <w:color w:val="auto"/>
          <w:sz w:val="28"/>
          <w:szCs w:val="28"/>
        </w:rPr>
      </w:pPr>
      <w:r>
        <w:fldChar w:fldCharType="begin"/>
      </w:r>
      <w:r>
        <w:instrText xml:space="preserve"> HYPERLINK \l "_Toc105769813" </w:instrText>
      </w:r>
      <w:r>
        <w:fldChar w:fldCharType="separate"/>
      </w:r>
      <w:r>
        <w:rPr>
          <w:rStyle w:val="36"/>
          <w:rFonts w:cs="宋体" w:asciiTheme="majorEastAsia" w:hAnsiTheme="majorEastAsia" w:eastAsiaTheme="majorEastAsia"/>
          <w:i w:val="0"/>
          <w:kern w:val="0"/>
          <w:sz w:val="28"/>
          <w:szCs w:val="28"/>
        </w:rPr>
        <w:t>3.4.4</w:t>
      </w:r>
      <w:r>
        <w:rPr>
          <w:rStyle w:val="36"/>
          <w:rFonts w:hint="eastAsia" w:cs="宋体" w:asciiTheme="majorEastAsia" w:hAnsiTheme="majorEastAsia" w:eastAsiaTheme="majorEastAsia"/>
          <w:i w:val="0"/>
          <w:kern w:val="0"/>
          <w:sz w:val="28"/>
          <w:szCs w:val="28"/>
        </w:rPr>
        <w:t>防疫专项隐患排查清单</w:t>
      </w:r>
      <w:r>
        <w:rPr>
          <w:rFonts w:asciiTheme="majorEastAsia" w:hAnsiTheme="majorEastAsia" w:eastAsiaTheme="majorEastAsia"/>
          <w:i w:val="0"/>
          <w:sz w:val="28"/>
          <w:szCs w:val="28"/>
        </w:rPr>
        <w:tab/>
      </w:r>
      <w:r>
        <w:rPr>
          <w:rFonts w:asciiTheme="majorEastAsia" w:hAnsiTheme="majorEastAsia" w:eastAsiaTheme="majorEastAsia"/>
          <w:i w:val="0"/>
          <w:sz w:val="28"/>
          <w:szCs w:val="28"/>
        </w:rPr>
        <w:fldChar w:fldCharType="begin"/>
      </w:r>
      <w:r>
        <w:rPr>
          <w:rFonts w:asciiTheme="majorEastAsia" w:hAnsiTheme="majorEastAsia" w:eastAsiaTheme="majorEastAsia"/>
          <w:i w:val="0"/>
          <w:sz w:val="28"/>
          <w:szCs w:val="28"/>
        </w:rPr>
        <w:instrText xml:space="preserve"> PAGEREF _Toc105769813 \h </w:instrText>
      </w:r>
      <w:r>
        <w:rPr>
          <w:rFonts w:asciiTheme="majorEastAsia" w:hAnsiTheme="majorEastAsia" w:eastAsiaTheme="majorEastAsia"/>
          <w:i w:val="0"/>
          <w:sz w:val="28"/>
          <w:szCs w:val="28"/>
        </w:rPr>
        <w:fldChar w:fldCharType="separate"/>
      </w:r>
      <w:r>
        <w:rPr>
          <w:rFonts w:asciiTheme="majorEastAsia" w:hAnsiTheme="majorEastAsia" w:eastAsiaTheme="majorEastAsia"/>
          <w:i w:val="0"/>
          <w:sz w:val="28"/>
          <w:szCs w:val="28"/>
        </w:rPr>
        <w:t>135</w:t>
      </w:r>
      <w:r>
        <w:rPr>
          <w:rFonts w:asciiTheme="majorEastAsia" w:hAnsiTheme="majorEastAsia" w:eastAsiaTheme="majorEastAsia"/>
          <w:i w:val="0"/>
          <w:sz w:val="28"/>
          <w:szCs w:val="28"/>
        </w:rPr>
        <w:fldChar w:fldCharType="end"/>
      </w:r>
      <w:r>
        <w:rPr>
          <w:rFonts w:asciiTheme="majorEastAsia" w:hAnsiTheme="majorEastAsia" w:eastAsiaTheme="majorEastAsia"/>
          <w:i w:val="0"/>
          <w:sz w:val="28"/>
          <w:szCs w:val="28"/>
        </w:rPr>
        <w:fldChar w:fldCharType="end"/>
      </w:r>
    </w:p>
    <w:p>
      <w:pPr>
        <w:pStyle w:val="20"/>
        <w:tabs>
          <w:tab w:val="right" w:leader="dot" w:pos="8498"/>
        </w:tabs>
        <w:spacing w:line="360" w:lineRule="auto"/>
        <w:ind w:hanging="11"/>
        <w:rPr>
          <w:rFonts w:cs="Calibri"/>
          <w:szCs w:val="24"/>
        </w:rPr>
      </w:pPr>
      <w:r>
        <w:rPr>
          <w:rFonts w:cs="Times New Roman" w:asciiTheme="majorEastAsia" w:hAnsiTheme="majorEastAsia" w:eastAsiaTheme="majorEastAsia"/>
          <w:b w:val="0"/>
          <w:color w:val="auto"/>
          <w:sz w:val="28"/>
          <w:szCs w:val="28"/>
        </w:rPr>
        <w:fldChar w:fldCharType="end"/>
      </w:r>
    </w:p>
    <w:p>
      <w:pPr>
        <w:widowControl w:val="0"/>
        <w:spacing w:after="0" w:line="560" w:lineRule="exact"/>
        <w:ind w:left="0" w:firstLine="480" w:firstLineChars="200"/>
        <w:rPr>
          <w:rFonts w:cs="Calibri"/>
          <w:szCs w:val="24"/>
        </w:rPr>
        <w:sectPr>
          <w:pgSz w:w="11910" w:h="16840"/>
          <w:pgMar w:top="1361" w:right="1701" w:bottom="1361" w:left="1701" w:header="1021" w:footer="953" w:gutter="0"/>
          <w:pgNumType w:fmt="upperRoman" w:start="1"/>
          <w:cols w:space="720" w:num="1"/>
        </w:sectPr>
      </w:pPr>
    </w:p>
    <w:p>
      <w:pPr>
        <w:widowControl w:val="0"/>
        <w:spacing w:after="0" w:line="360" w:lineRule="auto"/>
        <w:ind w:left="0" w:firstLine="0"/>
        <w:jc w:val="center"/>
        <w:outlineLvl w:val="0"/>
        <w:rPr>
          <w:rFonts w:cs="Calibri" w:asciiTheme="minorEastAsia" w:hAnsiTheme="minorEastAsia" w:eastAsiaTheme="minorEastAsia"/>
          <w:b/>
          <w:sz w:val="36"/>
          <w:szCs w:val="24"/>
        </w:rPr>
      </w:pPr>
      <w:bookmarkStart w:id="14" w:name="_Toc43030368"/>
      <w:bookmarkStart w:id="15" w:name="_Toc105769792"/>
      <w:r>
        <w:rPr>
          <w:rFonts w:hint="eastAsia" w:cs="Calibri" w:asciiTheme="minorEastAsia" w:hAnsiTheme="minorEastAsia" w:eastAsiaTheme="minorEastAsia"/>
          <w:b/>
          <w:sz w:val="32"/>
          <w:szCs w:val="24"/>
        </w:rPr>
        <w:t>第一章 概述</w:t>
      </w:r>
      <w:bookmarkEnd w:id="14"/>
      <w:bookmarkEnd w:id="15"/>
    </w:p>
    <w:p>
      <w:pPr>
        <w:widowControl w:val="0"/>
        <w:spacing w:before="292" w:beforeLines="50" w:after="292" w:afterLines="50" w:line="560" w:lineRule="exact"/>
        <w:ind w:left="0" w:hanging="11"/>
        <w:outlineLvl w:val="1"/>
        <w:rPr>
          <w:rFonts w:cs="Calibri" w:asciiTheme="minorEastAsia" w:hAnsiTheme="minorEastAsia" w:eastAsiaTheme="minorEastAsia"/>
          <w:b/>
          <w:sz w:val="28"/>
          <w:szCs w:val="24"/>
        </w:rPr>
      </w:pPr>
      <w:bookmarkStart w:id="16" w:name="_Toc43030369"/>
      <w:bookmarkStart w:id="17" w:name="_Toc105769793"/>
      <w:r>
        <w:rPr>
          <w:rFonts w:hint="eastAsia" w:cs="Calibri" w:asciiTheme="minorEastAsia" w:hAnsiTheme="minorEastAsia" w:eastAsiaTheme="minorEastAsia"/>
          <w:b/>
          <w:sz w:val="28"/>
          <w:szCs w:val="24"/>
        </w:rPr>
        <w:t>1.1目标</w:t>
      </w:r>
      <w:bookmarkEnd w:id="16"/>
      <w:bookmarkEnd w:id="17"/>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为有效提升事故预防工作的科学化、信息化、标准化水平，切实增强安全生产整体防控能力，进一步夯实遏制重特大事故的行业基础，真正实现把风险控制在隐患形成之前，把隐患消灭在事故前面。依据《中华人民共和国安全生产法》、《河北省安全生产条例》、《公路水路行业安全生产风险管理暂行办法》、《公路水路行业安全生产事故隐患治理暂行办法》等相关规定，结合各路段实际，制定本手册。</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通过建立健全安全风险分级管控和隐患排查治理双重预防控制工作制度和标准规范</w:t>
      </w:r>
      <w:r>
        <w:rPr>
          <w:rFonts w:cs="Calibri" w:asciiTheme="minorEastAsia" w:hAnsiTheme="minorEastAsia" w:eastAsiaTheme="minorEastAsia"/>
          <w:szCs w:val="24"/>
        </w:rPr>
        <w:t>,落实完善安全风险辨识、评估、分级、管控和事故隐患排查、上报、整治、销账等各环节的工作责任和管理措施</w:t>
      </w:r>
      <w:r>
        <w:rPr>
          <w:rFonts w:hint="eastAsia" w:cs="Calibri" w:asciiTheme="minorEastAsia" w:hAnsiTheme="minorEastAsia" w:eastAsiaTheme="minorEastAsia"/>
          <w:szCs w:val="24"/>
        </w:rPr>
        <w:t>。</w:t>
      </w:r>
      <w:r>
        <w:rPr>
          <w:rFonts w:cs="Calibri" w:asciiTheme="minorEastAsia" w:hAnsiTheme="minorEastAsia" w:eastAsiaTheme="minorEastAsia"/>
          <w:szCs w:val="24"/>
        </w:rPr>
        <w:t>实现</w:t>
      </w:r>
      <w:r>
        <w:rPr>
          <w:rFonts w:hint="eastAsia" w:cs="Calibri" w:asciiTheme="minorEastAsia" w:hAnsiTheme="minorEastAsia" w:eastAsiaTheme="minorEastAsia"/>
          <w:szCs w:val="24"/>
        </w:rPr>
        <w:t>中电建冀交高投公司</w:t>
      </w:r>
      <w:r>
        <w:rPr>
          <w:rFonts w:cs="Calibri" w:asciiTheme="minorEastAsia" w:hAnsiTheme="minorEastAsia" w:eastAsiaTheme="minorEastAsia"/>
          <w:szCs w:val="24"/>
        </w:rPr>
        <w:t>安全风险的自辨自控和事故隐患的自查自治,形成规范完备的“双控”体系与协调联动运行机制。</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通过本次风险分级管控活动，旨在辨识评估高速公路路段及养护作业过程中的风险分布。并制定针对性的隐患排查清单，规范隐患排查责任人、责任划分及排查标准等。</w:t>
      </w:r>
    </w:p>
    <w:p>
      <w:pPr>
        <w:widowControl w:val="0"/>
        <w:spacing w:before="292" w:beforeLines="50" w:after="292" w:afterLines="50" w:line="560" w:lineRule="exact"/>
        <w:ind w:left="0" w:hanging="11"/>
        <w:outlineLvl w:val="1"/>
        <w:rPr>
          <w:rFonts w:cs="Calibri" w:asciiTheme="minorEastAsia" w:hAnsiTheme="minorEastAsia" w:eastAsiaTheme="minorEastAsia"/>
          <w:b/>
          <w:sz w:val="28"/>
          <w:szCs w:val="24"/>
        </w:rPr>
      </w:pPr>
      <w:bookmarkStart w:id="18" w:name="_Toc105769794"/>
      <w:bookmarkStart w:id="19" w:name="_Toc43030370"/>
      <w:r>
        <w:rPr>
          <w:rFonts w:hint="eastAsia" w:cs="Calibri" w:asciiTheme="minorEastAsia" w:hAnsiTheme="minorEastAsia" w:eastAsiaTheme="minorEastAsia"/>
          <w:b/>
          <w:sz w:val="28"/>
          <w:szCs w:val="24"/>
        </w:rPr>
        <w:t>1.2依据</w:t>
      </w:r>
      <w:bookmarkEnd w:id="18"/>
      <w:bookmarkEnd w:id="19"/>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w:t>
      </w:r>
      <w:r>
        <w:rPr>
          <w:rFonts w:cs="Calibri" w:asciiTheme="minorEastAsia" w:hAnsiTheme="minorEastAsia" w:eastAsiaTheme="minorEastAsia"/>
          <w:szCs w:val="24"/>
        </w:rPr>
        <w:t>《中华人民共和国安全生产法》</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（2）</w:t>
      </w:r>
      <w:r>
        <w:rPr>
          <w:rFonts w:cs="Calibri" w:asciiTheme="minorEastAsia" w:hAnsiTheme="minorEastAsia" w:eastAsiaTheme="minorEastAsia"/>
          <w:szCs w:val="24"/>
        </w:rPr>
        <w:t>《河北省安全生产条例》</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（3）</w:t>
      </w:r>
      <w:r>
        <w:rPr>
          <w:rFonts w:cs="Calibri" w:asciiTheme="minorEastAsia" w:hAnsiTheme="minorEastAsia" w:eastAsiaTheme="minorEastAsia"/>
          <w:szCs w:val="24"/>
        </w:rPr>
        <w:t>《公路水运工程安全生产监督管理办法》</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（4）</w:t>
      </w:r>
      <w:r>
        <w:rPr>
          <w:rFonts w:cs="Calibri" w:asciiTheme="minorEastAsia" w:hAnsiTheme="minorEastAsia" w:eastAsiaTheme="minorEastAsia"/>
          <w:szCs w:val="24"/>
        </w:rPr>
        <w:t>《公路水路行业安全生产风险管理暂行办法》</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（5）</w:t>
      </w:r>
      <w:r>
        <w:rPr>
          <w:rFonts w:cs="Calibri" w:asciiTheme="minorEastAsia" w:hAnsiTheme="minorEastAsia" w:eastAsiaTheme="minorEastAsia"/>
          <w:szCs w:val="24"/>
        </w:rPr>
        <w:t>《公路水路行业安全生产事故隐患治理暂行办法》</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（6）</w:t>
      </w:r>
      <w:r>
        <w:rPr>
          <w:rFonts w:cs="Calibri" w:asciiTheme="minorEastAsia" w:hAnsiTheme="minorEastAsia" w:eastAsiaTheme="minorEastAsia"/>
          <w:szCs w:val="24"/>
        </w:rPr>
        <w:t>《安全生产事故隐患排查治理暂行规定》</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（7）</w:t>
      </w:r>
      <w:r>
        <w:rPr>
          <w:rFonts w:cs="Calibri" w:asciiTheme="minorEastAsia" w:hAnsiTheme="minorEastAsia" w:eastAsiaTheme="minorEastAsia"/>
          <w:szCs w:val="24"/>
        </w:rPr>
        <w:t>《河北省安全生产风险管控与隐患治理规定》</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（8）</w:t>
      </w:r>
      <w:r>
        <w:rPr>
          <w:rFonts w:cs="Calibri" w:asciiTheme="minorEastAsia" w:hAnsiTheme="minorEastAsia" w:eastAsiaTheme="minorEastAsia"/>
          <w:szCs w:val="24"/>
        </w:rPr>
        <w:t>《河北省交通运输安全生产风险管理实施办法（试行）》</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（9）</w:t>
      </w:r>
      <w:r>
        <w:rPr>
          <w:rFonts w:cs="Calibri" w:asciiTheme="minorEastAsia" w:hAnsiTheme="minorEastAsia" w:eastAsiaTheme="minorEastAsia"/>
          <w:szCs w:val="24"/>
        </w:rPr>
        <w:t>《河北省交通运输安全生产隐患治理实施办法（试行）》</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（10）</w:t>
      </w:r>
      <w:r>
        <w:rPr>
          <w:rFonts w:cs="Calibri" w:asciiTheme="minorEastAsia" w:hAnsiTheme="minorEastAsia" w:eastAsiaTheme="minorEastAsia"/>
          <w:szCs w:val="24"/>
        </w:rPr>
        <w:t>《企业职工伤亡事故分类》 （GB 6441-1986）</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（11）</w:t>
      </w:r>
      <w:r>
        <w:rPr>
          <w:rFonts w:cs="Calibri" w:asciiTheme="minorEastAsia" w:hAnsiTheme="minorEastAsia" w:eastAsiaTheme="minorEastAsia"/>
          <w:szCs w:val="24"/>
        </w:rPr>
        <w:t>《公路水路行业安全生产风险辨识评估管控基本规范（试行）》</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（12）《河北省公路运营安全生产风险辨识</w:t>
      </w:r>
      <w:r>
        <w:rPr>
          <w:rFonts w:cs="Calibri" w:asciiTheme="minorEastAsia" w:hAnsiTheme="minorEastAsia" w:eastAsiaTheme="minorEastAsia"/>
          <w:szCs w:val="24"/>
        </w:rPr>
        <w:t xml:space="preserve"> 评估标准及管控措施(试行)</w:t>
      </w:r>
      <w:r>
        <w:rPr>
          <w:rFonts w:hint="eastAsia" w:cs="Calibri" w:asciiTheme="minorEastAsia" w:hAnsiTheme="minorEastAsia" w:eastAsiaTheme="minorEastAsia"/>
          <w:szCs w:val="24"/>
        </w:rPr>
        <w:t xml:space="preserve"> 》</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（13）</w:t>
      </w:r>
      <w:r>
        <w:rPr>
          <w:rFonts w:cs="Calibri" w:asciiTheme="minorEastAsia" w:hAnsiTheme="minorEastAsia" w:eastAsiaTheme="minorEastAsia"/>
          <w:szCs w:val="24"/>
        </w:rPr>
        <w:t>《危险化学品重大危险源辨识》（GB 18218-2018）</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（14）</w:t>
      </w:r>
      <w:r>
        <w:rPr>
          <w:rFonts w:cs="Calibri" w:asciiTheme="minorEastAsia" w:hAnsiTheme="minorEastAsia" w:eastAsiaTheme="minorEastAsia"/>
          <w:szCs w:val="24"/>
        </w:rPr>
        <w:t>《生产过程危险和有害因素分类与代码》（GB/T 13861-2009）</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（15）</w:t>
      </w:r>
      <w:r>
        <w:rPr>
          <w:rFonts w:cs="Calibri" w:asciiTheme="minorEastAsia" w:hAnsiTheme="minorEastAsia" w:eastAsiaTheme="minorEastAsia"/>
          <w:szCs w:val="24"/>
        </w:rPr>
        <w:t>《风险管理原则和实施指南》（GB/T 24353-2009）</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（16）《省交通运输厅安委办关于贯彻落实重点领域安全风险辨识管控措施标准的通知》（冀交安委办函〔</w:t>
      </w:r>
      <w:r>
        <w:rPr>
          <w:rFonts w:cs="Calibri" w:asciiTheme="minorEastAsia" w:hAnsiTheme="minorEastAsia" w:eastAsiaTheme="minorEastAsia"/>
          <w:szCs w:val="24"/>
        </w:rPr>
        <w:t>2018〕54号）</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（17）《河北交通投资集团公司关于印发</w:t>
      </w:r>
      <w:r>
        <w:rPr>
          <w:rFonts w:cs="Calibri" w:asciiTheme="minorEastAsia" w:hAnsiTheme="minorEastAsia" w:eastAsiaTheme="minorEastAsia"/>
          <w:szCs w:val="24"/>
        </w:rPr>
        <w:t>&lt;深入推进安全风险分级管控和隐患排查治理双重预防机制建设工作实施方案&gt;的通知》（冀交投基〔2019〕599号）</w:t>
      </w:r>
    </w:p>
    <w:p>
      <w:pPr>
        <w:widowControl w:val="0"/>
        <w:spacing w:before="292" w:beforeLines="50" w:after="292" w:afterLines="50" w:line="560" w:lineRule="exact"/>
        <w:ind w:left="0" w:hanging="11"/>
        <w:outlineLvl w:val="1"/>
        <w:rPr>
          <w:rFonts w:cs="Calibri" w:asciiTheme="minorEastAsia" w:hAnsiTheme="minorEastAsia" w:eastAsiaTheme="minorEastAsia"/>
          <w:b/>
          <w:sz w:val="28"/>
          <w:szCs w:val="24"/>
        </w:rPr>
      </w:pPr>
      <w:bookmarkStart w:id="20" w:name="_Toc43030371"/>
      <w:bookmarkStart w:id="21" w:name="_Toc105769795"/>
      <w:r>
        <w:rPr>
          <w:rFonts w:hint="eastAsia" w:cs="Calibri" w:asciiTheme="minorEastAsia" w:hAnsiTheme="minorEastAsia" w:eastAsiaTheme="minorEastAsia"/>
          <w:b/>
          <w:sz w:val="28"/>
          <w:szCs w:val="24"/>
        </w:rPr>
        <w:t>1.3</w:t>
      </w:r>
      <w:bookmarkEnd w:id="20"/>
      <w:r>
        <w:rPr>
          <w:rFonts w:hint="eastAsia" w:cs="Calibri" w:asciiTheme="minorEastAsia" w:hAnsiTheme="minorEastAsia" w:eastAsiaTheme="minorEastAsia"/>
          <w:b/>
          <w:sz w:val="28"/>
          <w:szCs w:val="24"/>
        </w:rPr>
        <w:t>组织机构及职责</w:t>
      </w:r>
      <w:bookmarkEnd w:id="21"/>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按照</w:t>
      </w:r>
      <w:r>
        <w:rPr>
          <w:rFonts w:hint="eastAsia" w:cs="Calibri" w:asciiTheme="minorEastAsia" w:hAnsiTheme="minorEastAsia" w:eastAsiaTheme="minorEastAsia"/>
          <w:szCs w:val="24"/>
        </w:rPr>
        <w:t>中电建冀交高投公司</w:t>
      </w:r>
      <w:r>
        <w:rPr>
          <w:rFonts w:cs="Calibri" w:asciiTheme="minorEastAsia" w:hAnsiTheme="minorEastAsia" w:eastAsiaTheme="minorEastAsia"/>
          <w:szCs w:val="24"/>
        </w:rPr>
        <w:t>安全管理组织结构和职责</w:t>
      </w:r>
      <w:r>
        <w:rPr>
          <w:rFonts w:hint="eastAsia" w:cs="Calibri" w:asciiTheme="minorEastAsia" w:hAnsiTheme="minorEastAsia" w:eastAsiaTheme="minorEastAsia"/>
          <w:szCs w:val="24"/>
        </w:rPr>
        <w:t>，公司安委会下设工程专业安委会，在公司安委会的领导下，研究、部署、指导、协调工程养护安全生产工作。</w:t>
      </w:r>
      <w:r>
        <w:rPr>
          <w:rFonts w:cs="Calibri" w:asciiTheme="minorEastAsia" w:hAnsiTheme="minorEastAsia" w:eastAsiaTheme="minorEastAsia"/>
          <w:szCs w:val="24"/>
        </w:rPr>
        <w:t>公司设置</w:t>
      </w:r>
      <w:r>
        <w:rPr>
          <w:rFonts w:hint="eastAsia" w:cs="Calibri" w:asciiTheme="minorEastAsia" w:hAnsiTheme="minorEastAsia" w:eastAsiaTheme="minorEastAsia"/>
          <w:szCs w:val="24"/>
        </w:rPr>
        <w:t>工程管理部（工程管理一部）、工程管理二部、工程管理三部，承担公司相关路段养护管理工作，各路段设置养护工区，承担着日常养护管理工作。具体职责如下</w:t>
      </w:r>
    </w:p>
    <w:p>
      <w:pPr>
        <w:widowControl w:val="0"/>
        <w:spacing w:after="0" w:line="560" w:lineRule="exact"/>
        <w:ind w:left="0" w:firstLine="472" w:firstLineChars="200"/>
        <w:rPr>
          <w:rFonts w:cs="Calibri" w:asciiTheme="minorEastAsia" w:hAnsiTheme="minorEastAsia" w:eastAsiaTheme="minorEastAsia"/>
          <w:b/>
          <w:color w:val="auto"/>
          <w:szCs w:val="24"/>
        </w:rPr>
      </w:pPr>
      <w:r>
        <w:rPr>
          <w:rFonts w:hint="eastAsia" w:cs="Calibri" w:asciiTheme="minorEastAsia" w:hAnsiTheme="minorEastAsia" w:eastAsiaTheme="minorEastAsia"/>
          <w:b/>
          <w:szCs w:val="24"/>
        </w:rPr>
        <w:t>1</w:t>
      </w:r>
      <w:r>
        <w:rPr>
          <w:rFonts w:cs="Calibri" w:asciiTheme="minorEastAsia" w:hAnsiTheme="minorEastAsia" w:eastAsiaTheme="minorEastAsia"/>
          <w:b/>
          <w:szCs w:val="24"/>
        </w:rPr>
        <w:t>.3.1</w:t>
      </w:r>
      <w:r>
        <w:rPr>
          <w:rFonts w:hint="eastAsia" w:cs="Calibri" w:asciiTheme="minorEastAsia" w:hAnsiTheme="minorEastAsia" w:eastAsiaTheme="minorEastAsia"/>
          <w:b/>
          <w:szCs w:val="24"/>
        </w:rPr>
        <w:t>工程管理部门</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1）认真贯彻执行国家及上级部门有关安全生产工作的方针、政策、法律、法规以及公司的安全生产规章制度，按“管业务必须管安全”的原则，履行好本部门主管业务范围内的安全生产工作职责。</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2）工程管理部承担工程管理专业安委会日常管理工作，督促、协调相关部室、单位落实专业安委会工作决定和部署。</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3）负责新改扩建工程施工安全监督管理工作，贯彻执行项目安全生产设施 “三同时”有关规定。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4）负责工程施工、工程养护安全管理规定、设备设施安全操作规程、专项应急预案（防汛、除雪、桥梁突发事件等）的制定。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5）负责指导监督路基、路面、桥梁、隧道、交安、房建、收费大棚等土建与结构设施的养护安全工作。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6）负责定期组织开展公路工程技术状况评定，确保公路技术状况良好，指导监督养护工区开展日常养护作业过程中的安全管理工作。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7）会同相关部门、单位起草工程施工及养护招标文件、施工合同中安全管理目标、安全生产职责、安全生产条件等，并监督落实。</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8）组织或指导监督所管业务相关方入场前安全协议签订、安全技术交底，指导监督日常安全教育培训落实。</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9）定期组织开展专项安全检查，及时排查并督促隐患整改，指导督促相关单位落实公司安全管理规定。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10）组织开展主管业务范围内的风险辨识评估活动，按职责做好风险管控措施。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11）组织或参与工程施工、工程养护业务的安全生产教育、培训、演练、安全生产竞赛活动，如实记录安全生产教育和培训情况，对安全生产工作中的先进典型提出表彰建议。</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12）按计划组织或参与应急演练，突发事件发生后，按职责参与应急救援工作。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13）负责部门办公场所和人员的安全。</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14）完成工程管理部职责范围内的其他安全生产工作。</w:t>
      </w:r>
    </w:p>
    <w:p>
      <w:pPr>
        <w:widowControl w:val="0"/>
        <w:spacing w:after="0" w:line="560" w:lineRule="exact"/>
        <w:ind w:left="0" w:firstLine="472" w:firstLineChars="200"/>
        <w:rPr>
          <w:rFonts w:cs="Calibri" w:asciiTheme="minorEastAsia" w:hAnsiTheme="minorEastAsia" w:eastAsiaTheme="minorEastAsia"/>
          <w:b/>
          <w:szCs w:val="24"/>
        </w:rPr>
      </w:pPr>
      <w:r>
        <w:rPr>
          <w:rFonts w:hint="eastAsia" w:cs="Calibri" w:asciiTheme="minorEastAsia" w:hAnsiTheme="minorEastAsia" w:eastAsiaTheme="minorEastAsia"/>
          <w:b/>
          <w:szCs w:val="24"/>
        </w:rPr>
        <w:t>1</w:t>
      </w:r>
      <w:r>
        <w:rPr>
          <w:rFonts w:cs="Calibri" w:asciiTheme="minorEastAsia" w:hAnsiTheme="minorEastAsia" w:eastAsiaTheme="minorEastAsia"/>
          <w:b/>
          <w:szCs w:val="24"/>
        </w:rPr>
        <w:t>.3.2</w:t>
      </w:r>
      <w:r>
        <w:rPr>
          <w:rFonts w:hint="eastAsia" w:cs="Calibri" w:asciiTheme="minorEastAsia" w:hAnsiTheme="minorEastAsia" w:eastAsiaTheme="minorEastAsia"/>
          <w:b/>
          <w:szCs w:val="24"/>
        </w:rPr>
        <w:t>养护工区</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1）认真贯彻执行国家及上级部门有关安全生产工作的方针、政策、法律、法规以及公司的安全生产规章制度，按“管生产必须管安全”的原则，履行好本单位的安全生产工作职责。</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2）负责养护工区内部水、电、暖、气、食堂及车辆安全管理等工作。</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3）负责养护工区内部养护设备设施、物资材料、机械车辆的使用、维护与管理等工作。</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4）负责所辖路段养护管理，按规定巡查、养护，对发现的病害及时处置，确保设备设施技术状况良好。</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5）负责养护作业期间的安全管理工作，养护作业现场的安全监督检查。</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6）负责本单位内相关方、劳务派遣的日常安全监管，按规定开展安全教育培训、安全技术交底等工作。</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7）组织分解并认真落实本工区安全生产工作目标、指标和保障措施。</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8）组织或协助起草养护作业及养护设备设施、物资材料、机械设备的安全操作规程、突发事件现场处置方案等。</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9）组织开展本工区管辖范围内的风险辨识评估活动，按职责做好风险管控措施。</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10）组织开展本工区管辖范围内的隐患排查治理活动，对发现的安全隐患及时组织整改，按规定记录、上报。</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11）按规定组织或参与安全教育培训、应急演练、安全会议、安全活动等，及时上报安全生产信息。</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12）突发事件发生后，按职责参与应急救援工作。</w:t>
      </w:r>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13）负责本工区办公场所和人员的安全。</w:t>
      </w:r>
    </w:p>
    <w:p>
      <w:pPr>
        <w:widowControl w:val="0"/>
        <w:spacing w:after="0" w:line="360" w:lineRule="auto"/>
        <w:ind w:left="0" w:firstLine="55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b/>
          <w:color w:val="auto"/>
          <w:sz w:val="28"/>
          <w:szCs w:val="24"/>
        </w:rPr>
        <w:t>1.3.</w:t>
      </w:r>
      <w:r>
        <w:rPr>
          <w:rFonts w:cs="Calibri" w:asciiTheme="minorEastAsia" w:hAnsiTheme="minorEastAsia" w:eastAsiaTheme="minorEastAsia"/>
          <w:b/>
          <w:color w:val="auto"/>
          <w:sz w:val="28"/>
          <w:szCs w:val="24"/>
        </w:rPr>
        <w:t>4</w:t>
      </w:r>
      <w:r>
        <w:rPr>
          <w:rFonts w:hint="eastAsia" w:cs="Calibri" w:asciiTheme="minorEastAsia" w:hAnsiTheme="minorEastAsia" w:eastAsiaTheme="minorEastAsia"/>
          <w:b/>
          <w:color w:val="auto"/>
          <w:sz w:val="28"/>
          <w:szCs w:val="24"/>
        </w:rPr>
        <w:t>工程养护双控实施小组</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为全面贯彻执行《河北省安全生产风险管控与隐患治理规定》及《河北交通投资集团公司关于印发深入推进安全风险分级管控和隐患排查治理双重预防机制建设工作实施方案的通知》，公司成立工程养护专业双控机制建设实施小组。</w:t>
      </w:r>
      <w:r>
        <w:rPr>
          <w:rFonts w:hint="eastAsia" w:cs="Calibri" w:asciiTheme="minorEastAsia" w:hAnsiTheme="minorEastAsia" w:eastAsiaTheme="minorEastAsia"/>
          <w:szCs w:val="24"/>
        </w:rPr>
        <w:t>由工程管理部牵头，负责“双控”机制建设工作，开展“双控”教育培训，编制风险分布图，制定风险管控措施，建立健全风险分级管控清单、事故隐患排查清单和隐患治理信息台账，制定隐患整改方案。</w:t>
      </w:r>
    </w:p>
    <w:p>
      <w:pPr>
        <w:widowControl w:val="0"/>
        <w:spacing w:before="292" w:beforeLines="50" w:after="292" w:afterLines="50" w:line="560" w:lineRule="exact"/>
        <w:ind w:left="0" w:hanging="11"/>
        <w:outlineLvl w:val="1"/>
        <w:rPr>
          <w:rFonts w:cs="Calibri" w:asciiTheme="minorEastAsia" w:hAnsiTheme="minorEastAsia" w:eastAsiaTheme="minorEastAsia"/>
          <w:b/>
          <w:sz w:val="28"/>
          <w:szCs w:val="24"/>
        </w:rPr>
      </w:pPr>
      <w:bookmarkStart w:id="22" w:name="_Toc105769796"/>
      <w:r>
        <w:rPr>
          <w:rFonts w:hint="eastAsia" w:cs="Calibri" w:asciiTheme="minorEastAsia" w:hAnsiTheme="minorEastAsia" w:eastAsiaTheme="minorEastAsia"/>
          <w:b/>
          <w:sz w:val="28"/>
          <w:szCs w:val="24"/>
        </w:rPr>
        <w:t>1.</w:t>
      </w:r>
      <w:r>
        <w:rPr>
          <w:rFonts w:cs="Calibri" w:asciiTheme="minorEastAsia" w:hAnsiTheme="minorEastAsia" w:eastAsiaTheme="minorEastAsia"/>
          <w:b/>
          <w:sz w:val="28"/>
          <w:szCs w:val="24"/>
        </w:rPr>
        <w:t>4</w:t>
      </w:r>
      <w:r>
        <w:rPr>
          <w:rFonts w:hint="eastAsia" w:cs="Calibri" w:asciiTheme="minorEastAsia" w:hAnsiTheme="minorEastAsia" w:eastAsiaTheme="minorEastAsia"/>
          <w:b/>
          <w:sz w:val="28"/>
          <w:szCs w:val="24"/>
        </w:rPr>
        <w:t>概况</w:t>
      </w:r>
      <w:bookmarkEnd w:id="22"/>
    </w:p>
    <w:p>
      <w:pPr>
        <w:widowControl w:val="0"/>
        <w:spacing w:after="0" w:line="560" w:lineRule="exact"/>
        <w:ind w:left="0" w:firstLine="472" w:firstLineChars="200"/>
        <w:rPr>
          <w:rFonts w:cs="Calibri" w:asciiTheme="minorEastAsia" w:hAnsiTheme="minorEastAsia" w:eastAsiaTheme="minorEastAsia"/>
          <w:szCs w:val="24"/>
        </w:rPr>
      </w:pPr>
      <w:r>
        <w:rPr>
          <w:rFonts w:cs="Calibri" w:asciiTheme="minorEastAsia" w:hAnsiTheme="minorEastAsia" w:eastAsiaTheme="minorEastAsia"/>
          <w:szCs w:val="24"/>
        </w:rPr>
        <w:t>中电建冀交高速公路投资发展有限公司由四家股东共同出资组建，负责河北省太行山等高速公路项目包（二）建设和运营管理工作。其中，政府投资人河北交通投资集团公司占49%,代表实施机构对公司进行直接管理，对建设项目实施日常管理；中电建路桥集团有限公司、中国电力建设股份有限公司、成都华川公路建设集团有限公司组成的联合体占51%。公司项目包括：太行山高速公路邢台段、太行山高速公路邯郸段、天津至石家庄高速公路冀津界至保石界段（以下简称“津石高速公路”）、新乐至元氏高速公路郭村至拐角铺段（以下简称“新元高速公路”）等四段</w:t>
      </w:r>
      <w:r>
        <w:rPr>
          <w:rFonts w:hint="eastAsia" w:cs="Calibri" w:asciiTheme="minorEastAsia" w:hAnsiTheme="minorEastAsia" w:eastAsiaTheme="minorEastAsia"/>
          <w:szCs w:val="24"/>
        </w:rPr>
        <w:t>，建设总规模</w:t>
      </w:r>
      <w:r>
        <w:rPr>
          <w:rFonts w:cs="Calibri" w:asciiTheme="minorEastAsia" w:hAnsiTheme="minorEastAsia" w:eastAsiaTheme="minorEastAsia"/>
          <w:szCs w:val="24"/>
        </w:rPr>
        <w:t>345.974公里，总投资约454.67亿元。太行山高速公路邢台段和太行山高速公路邯郸段统称为太行山高速，津石高速公路和新元高速公路统称为非太行山高速。项目基本情况如下：</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b/>
          <w:szCs w:val="24"/>
        </w:rPr>
        <w:t>1.4.1太行山高速邢台</w:t>
      </w:r>
      <w:r>
        <w:rPr>
          <w:rFonts w:hint="eastAsia" w:cs="Calibri" w:asciiTheme="minorEastAsia" w:hAnsiTheme="minorEastAsia" w:eastAsiaTheme="minorEastAsia"/>
          <w:b/>
          <w:szCs w:val="24"/>
          <w:lang w:eastAsia="zh-CN"/>
        </w:rPr>
        <w:t>段</w:t>
      </w:r>
      <w:bookmarkStart w:id="66" w:name="_GoBack"/>
      <w:bookmarkEnd w:id="66"/>
      <w:r>
        <w:rPr>
          <w:rFonts w:hint="eastAsia" w:cs="Calibri" w:asciiTheme="minorEastAsia" w:hAnsiTheme="minorEastAsia" w:eastAsiaTheme="minorEastAsia"/>
          <w:szCs w:val="24"/>
        </w:rPr>
        <w:t>：</w:t>
      </w:r>
      <w:r>
        <w:rPr>
          <w:rFonts w:cs="Calibri" w:asciiTheme="minorEastAsia" w:hAnsiTheme="minorEastAsia" w:eastAsiaTheme="minorEastAsia"/>
          <w:szCs w:val="24"/>
        </w:rPr>
        <w:t>路线起自石家庄邢台界，与太行山高速平山至赞皇段顺接，向南在沙河市册井乡与武安市矿山镇之间进入邯郸境内，与太行山高速邯郸段顺接。</w:t>
      </w:r>
      <w:r>
        <w:rPr>
          <w:rFonts w:hint="eastAsia" w:cs="Calibri" w:asciiTheme="minorEastAsia" w:hAnsiTheme="minorEastAsia" w:eastAsiaTheme="minorEastAsia"/>
          <w:szCs w:val="24"/>
        </w:rPr>
        <w:t>太行山高速公路邢台段路线全长</w:t>
      </w:r>
      <w:r>
        <w:rPr>
          <w:rFonts w:cs="Calibri" w:asciiTheme="minorEastAsia" w:hAnsiTheme="minorEastAsia" w:eastAsiaTheme="minorEastAsia"/>
          <w:szCs w:val="24"/>
        </w:rPr>
        <w:t>83.704公里，项目概算总投资95.054亿元；主线采用双向四车道高速公路标准建设。起点至石城互通设计速度采用100公里/小时，路基宽度采用25米；石城互通至终点设计速度采用80公里/小时，路基宽度采用24.5米。</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b/>
          <w:szCs w:val="24"/>
        </w:rPr>
        <w:t>1.4.2太行山高速邯郸段</w:t>
      </w:r>
      <w:r>
        <w:rPr>
          <w:rFonts w:hint="eastAsia" w:cs="Calibri" w:asciiTheme="minorEastAsia" w:hAnsiTheme="minorEastAsia" w:eastAsiaTheme="minorEastAsia"/>
          <w:szCs w:val="24"/>
        </w:rPr>
        <w:t>：</w:t>
      </w:r>
      <w:r>
        <w:rPr>
          <w:rFonts w:cs="Calibri" w:asciiTheme="minorEastAsia" w:hAnsiTheme="minorEastAsia" w:eastAsiaTheme="minorEastAsia"/>
          <w:szCs w:val="24"/>
        </w:rPr>
        <w:t>路线起自邢台邯郸市界，与太行山高速邢台段顺接，路线向南终于合漳乡邰家口村东的冀豫省界。</w:t>
      </w:r>
      <w:r>
        <w:rPr>
          <w:rFonts w:hint="eastAsia" w:cs="Calibri" w:asciiTheme="minorEastAsia" w:hAnsiTheme="minorEastAsia" w:eastAsiaTheme="minorEastAsia"/>
          <w:szCs w:val="24"/>
        </w:rPr>
        <w:t>太行山高速公路邯郸段路线全长</w:t>
      </w:r>
      <w:r>
        <w:rPr>
          <w:rFonts w:cs="Calibri" w:asciiTheme="minorEastAsia" w:hAnsiTheme="minorEastAsia" w:eastAsiaTheme="minorEastAsia"/>
          <w:szCs w:val="24"/>
        </w:rPr>
        <w:t>68.684公里，项目概算总投资为104.861亿元；主线采用双向四车道高速公路标准建设，设计速度80公里/小时，路基宽度采用24.5米。</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b/>
          <w:szCs w:val="24"/>
        </w:rPr>
        <w:t>1.4.3津石高速</w:t>
      </w:r>
      <w:r>
        <w:rPr>
          <w:rFonts w:hint="eastAsia" w:cs="Calibri" w:asciiTheme="minorEastAsia" w:hAnsiTheme="minorEastAsia" w:eastAsiaTheme="minorEastAsia"/>
          <w:szCs w:val="24"/>
        </w:rPr>
        <w:t>：路线起自河北省廊坊市大城县与天津市静海县交界处的东辛庄北，经大城县、任丘市、高阳县、蠡县西、博野县、安国县，在跨越大沙河后与津石高速石家庄段相接。天津至石家庄国家高速公路津冀界至保石界段路线全长</w:t>
      </w:r>
      <w:r>
        <w:rPr>
          <w:rFonts w:cs="Calibri" w:asciiTheme="minorEastAsia" w:hAnsiTheme="minorEastAsia" w:eastAsiaTheme="minorEastAsia"/>
          <w:szCs w:val="24"/>
        </w:rPr>
        <w:t>171.177公里，项目概算总投资239.247亿元；主线采用双向六车道高速公路标准建设，设计速度120公里/小时，路基宽度采用33.5米。</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b/>
          <w:szCs w:val="24"/>
        </w:rPr>
        <w:t>1.4.4新元高速</w:t>
      </w:r>
      <w:r>
        <w:rPr>
          <w:rFonts w:hint="eastAsia" w:cs="Calibri" w:asciiTheme="minorEastAsia" w:hAnsiTheme="minorEastAsia" w:eastAsiaTheme="minorEastAsia"/>
          <w:szCs w:val="24"/>
        </w:rPr>
        <w:t>：路线起点位于新乐郭村枢纽互通起点，路线向西南经新乐、石家庄机场、正定高新区至正定县拐角铺村，项目终点位于拐角铺枢纽互通中心。新乐至元氏高速公路郭村至拐角铺段改扩建工程路线全长</w:t>
      </w:r>
      <w:r>
        <w:rPr>
          <w:rFonts w:cs="Calibri" w:asciiTheme="minorEastAsia" w:hAnsiTheme="minorEastAsia" w:eastAsiaTheme="minorEastAsia"/>
          <w:szCs w:val="24"/>
        </w:rPr>
        <w:t>22.47公里,项目概算总投资15.513亿元；全线由四车道改扩建为六车道高速公路标准，设计速度采用120公里/小时，路基宽度采用34.5米。</w:t>
      </w:r>
    </w:p>
    <w:p>
      <w:pPr>
        <w:widowControl w:val="0"/>
        <w:spacing w:after="0" w:line="560" w:lineRule="exact"/>
        <w:ind w:left="0" w:firstLine="472" w:firstLineChars="200"/>
        <w:rPr>
          <w:rFonts w:cs="Calibri" w:asciiTheme="minorEastAsia" w:hAnsiTheme="minorEastAsia" w:eastAsiaTheme="minorEastAsia"/>
          <w:szCs w:val="24"/>
        </w:rPr>
      </w:pPr>
    </w:p>
    <w:p>
      <w:pPr>
        <w:widowControl w:val="0"/>
        <w:spacing w:after="0" w:line="360" w:lineRule="auto"/>
        <w:ind w:left="0" w:firstLine="0"/>
        <w:jc w:val="center"/>
        <w:outlineLvl w:val="0"/>
        <w:rPr>
          <w:rFonts w:cs="微软雅黑" w:asciiTheme="minorEastAsia" w:hAnsiTheme="minorEastAsia" w:eastAsiaTheme="minorEastAsia"/>
          <w:b/>
          <w:color w:val="auto"/>
          <w:sz w:val="28"/>
          <w:szCs w:val="28"/>
        </w:rPr>
      </w:pPr>
      <w:r>
        <w:rPr>
          <w:rFonts w:cs="微软雅黑" w:asciiTheme="minorEastAsia" w:hAnsiTheme="minorEastAsia" w:eastAsiaTheme="minorEastAsia"/>
          <w:b/>
          <w:color w:val="auto"/>
          <w:sz w:val="28"/>
          <w:szCs w:val="28"/>
        </w:rPr>
        <w:br w:type="page"/>
      </w:r>
      <w:bookmarkStart w:id="23" w:name="_Toc7522666"/>
      <w:bookmarkStart w:id="24" w:name="_Toc2179401"/>
    </w:p>
    <w:p>
      <w:pPr>
        <w:widowControl w:val="0"/>
        <w:spacing w:after="0" w:line="360" w:lineRule="auto"/>
        <w:ind w:left="0" w:firstLine="0"/>
        <w:jc w:val="center"/>
        <w:outlineLvl w:val="0"/>
        <w:rPr>
          <w:rFonts w:cs="Calibri" w:asciiTheme="minorEastAsia" w:hAnsiTheme="minorEastAsia" w:eastAsiaTheme="minorEastAsia"/>
          <w:b/>
          <w:sz w:val="36"/>
          <w:szCs w:val="24"/>
        </w:rPr>
      </w:pPr>
      <w:bookmarkStart w:id="25" w:name="_Toc43030372"/>
      <w:bookmarkStart w:id="26" w:name="_Toc105769797"/>
      <w:r>
        <w:rPr>
          <w:rFonts w:hint="eastAsia" w:cs="Calibri" w:asciiTheme="minorEastAsia" w:hAnsiTheme="minorEastAsia" w:eastAsiaTheme="minorEastAsia"/>
          <w:b/>
          <w:sz w:val="32"/>
          <w:szCs w:val="24"/>
        </w:rPr>
        <w:t>第二章 风险分级管控</w:t>
      </w:r>
      <w:bookmarkEnd w:id="25"/>
      <w:bookmarkEnd w:id="26"/>
    </w:p>
    <w:p>
      <w:pPr>
        <w:widowControl w:val="0"/>
        <w:spacing w:before="292" w:beforeLines="50" w:after="292" w:afterLines="50" w:line="560" w:lineRule="exact"/>
        <w:ind w:left="0" w:hanging="11"/>
        <w:outlineLvl w:val="1"/>
        <w:rPr>
          <w:rFonts w:cs="Calibri" w:asciiTheme="minorEastAsia" w:hAnsiTheme="minorEastAsia" w:eastAsiaTheme="minorEastAsia"/>
          <w:b/>
          <w:sz w:val="28"/>
          <w:szCs w:val="24"/>
        </w:rPr>
      </w:pPr>
      <w:bookmarkStart w:id="27" w:name="_Toc105769798"/>
      <w:bookmarkStart w:id="28" w:name="_Toc43030373"/>
      <w:r>
        <w:rPr>
          <w:rFonts w:hint="eastAsia" w:cs="Calibri" w:asciiTheme="minorEastAsia" w:hAnsiTheme="minorEastAsia" w:eastAsiaTheme="minorEastAsia"/>
          <w:b/>
          <w:sz w:val="28"/>
          <w:szCs w:val="24"/>
        </w:rPr>
        <w:t>2.1风险分级管控清单</w:t>
      </w:r>
      <w:bookmarkEnd w:id="27"/>
      <w:bookmarkEnd w:id="28"/>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依据《河北省公路运营安全生产风险辨识</w:t>
      </w:r>
      <w:r>
        <w:rPr>
          <w:rFonts w:cs="Calibri" w:asciiTheme="minorEastAsia" w:hAnsiTheme="minorEastAsia" w:eastAsiaTheme="minorEastAsia"/>
          <w:szCs w:val="24"/>
        </w:rPr>
        <w:t xml:space="preserve"> 评估标准及管控措施(试行) 》</w:t>
      </w:r>
      <w:r>
        <w:rPr>
          <w:rFonts w:hint="eastAsia" w:cs="Calibri" w:asciiTheme="minorEastAsia" w:hAnsiTheme="minorEastAsia" w:eastAsiaTheme="minorEastAsia"/>
          <w:szCs w:val="24"/>
        </w:rPr>
        <w:t>，</w:t>
      </w:r>
      <w:r>
        <w:rPr>
          <w:rFonts w:cs="Calibri" w:asciiTheme="minorEastAsia" w:hAnsiTheme="minorEastAsia" w:eastAsiaTheme="minorEastAsia"/>
          <w:szCs w:val="24"/>
        </w:rPr>
        <w:t>对工区院区及养护作业进行分析辨识评估</w:t>
      </w:r>
      <w:r>
        <w:rPr>
          <w:rFonts w:hint="eastAsia" w:cs="Calibri" w:asciiTheme="minorEastAsia" w:hAnsiTheme="minorEastAsia" w:eastAsiaTheme="minorEastAsia"/>
          <w:szCs w:val="24"/>
        </w:rPr>
        <w:t>。</w:t>
      </w:r>
    </w:p>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p>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p>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p>
    <w:p>
      <w:pPr>
        <w:widowControl w:val="0"/>
        <w:spacing w:after="0" w:line="360" w:lineRule="auto"/>
        <w:ind w:left="0" w:firstLine="472" w:firstLineChars="200"/>
        <w:outlineLvl w:val="2"/>
        <w:rPr>
          <w:rFonts w:cs="Calibri" w:asciiTheme="minorEastAsia" w:hAnsiTheme="minorEastAsia" w:eastAsiaTheme="minorEastAsia"/>
          <w:b/>
          <w:szCs w:val="24"/>
        </w:rPr>
        <w:sectPr>
          <w:headerReference r:id="rId5" w:type="default"/>
          <w:footerReference r:id="rId6" w:type="default"/>
          <w:pgSz w:w="11907" w:h="16839"/>
          <w:pgMar w:top="720" w:right="720" w:bottom="720" w:left="720" w:header="851" w:footer="1531" w:gutter="0"/>
          <w:cols w:space="720" w:num="1"/>
          <w:docGrid w:type="linesAndChars" w:linePitch="584" w:charSpace="-849"/>
        </w:sectPr>
      </w:pPr>
      <w:bookmarkStart w:id="29" w:name="_Toc43030376"/>
    </w:p>
    <w:p>
      <w:pPr>
        <w:widowControl w:val="0"/>
        <w:spacing w:after="0" w:line="360" w:lineRule="auto"/>
        <w:ind w:left="0" w:firstLine="472" w:firstLineChars="200"/>
        <w:outlineLvl w:val="2"/>
        <w:rPr>
          <w:rFonts w:cs="Calibri" w:asciiTheme="minorEastAsia" w:hAnsiTheme="minorEastAsia" w:eastAsiaTheme="minorEastAsia"/>
          <w:b/>
          <w:szCs w:val="24"/>
        </w:rPr>
      </w:pPr>
      <w:bookmarkStart w:id="30" w:name="_Toc105769799"/>
      <w:r>
        <w:rPr>
          <w:rFonts w:hint="eastAsia" w:cs="Calibri" w:asciiTheme="minorEastAsia" w:hAnsiTheme="minorEastAsia" w:eastAsiaTheme="minorEastAsia"/>
          <w:b/>
          <w:szCs w:val="24"/>
        </w:rPr>
        <w:t>2.1.</w:t>
      </w:r>
      <w:r>
        <w:rPr>
          <w:rFonts w:cs="Calibri" w:asciiTheme="minorEastAsia" w:hAnsiTheme="minorEastAsia" w:eastAsiaTheme="minorEastAsia"/>
          <w:b/>
          <w:szCs w:val="24"/>
        </w:rPr>
        <w:t>1</w:t>
      </w:r>
      <w:r>
        <w:rPr>
          <w:rFonts w:hint="eastAsia" w:cs="Calibri" w:asciiTheme="minorEastAsia" w:hAnsiTheme="minorEastAsia" w:eastAsiaTheme="minorEastAsia"/>
          <w:b/>
          <w:szCs w:val="24"/>
        </w:rPr>
        <w:t>工区院区</w:t>
      </w:r>
      <w:bookmarkEnd w:id="30"/>
    </w:p>
    <w:p>
      <w:pPr>
        <w:widowControl w:val="0"/>
        <w:tabs>
          <w:tab w:val="left" w:pos="2832"/>
        </w:tabs>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工区院内布置有设备库房、物资库房、发电机房、配电室等，对各场所、区域及设备设施进行风险辨识评估，评估结果如下表所示：</w:t>
      </w:r>
    </w:p>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r>
        <w:rPr>
          <w:rFonts w:hint="eastAsia" w:cs="Calibri" w:asciiTheme="minorEastAsia" w:hAnsiTheme="minorEastAsia" w:eastAsiaTheme="minorEastAsia"/>
          <w:b/>
          <w:sz w:val="22"/>
          <w:szCs w:val="24"/>
        </w:rPr>
        <w:t>表2-</w:t>
      </w:r>
      <w:r>
        <w:rPr>
          <w:rFonts w:cs="Calibri" w:asciiTheme="minorEastAsia" w:hAnsiTheme="minorEastAsia" w:eastAsiaTheme="minorEastAsia"/>
          <w:b/>
          <w:sz w:val="22"/>
          <w:szCs w:val="24"/>
        </w:rPr>
        <w:t>4</w:t>
      </w:r>
      <w:r>
        <w:rPr>
          <w:rFonts w:hint="eastAsia" w:cs="Calibri" w:asciiTheme="minorEastAsia" w:hAnsiTheme="minorEastAsia" w:eastAsiaTheme="minorEastAsia"/>
          <w:b/>
          <w:sz w:val="22"/>
          <w:szCs w:val="24"/>
        </w:rPr>
        <w:t xml:space="preserve"> 工区院区风险分级管控清单</w:t>
      </w:r>
    </w:p>
    <w:tbl>
      <w:tblPr>
        <w:tblStyle w:val="30"/>
        <w:tblW w:w="1546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760"/>
        <w:gridCol w:w="1000"/>
        <w:gridCol w:w="3240"/>
        <w:gridCol w:w="841"/>
        <w:gridCol w:w="992"/>
        <w:gridCol w:w="709"/>
        <w:gridCol w:w="992"/>
        <w:gridCol w:w="467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80" w:type="dxa"/>
            <w:gridSpan w:val="2"/>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风险点</w:t>
            </w:r>
          </w:p>
        </w:tc>
        <w:tc>
          <w:tcPr>
            <w:tcW w:w="1000"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风险事件</w:t>
            </w:r>
          </w:p>
        </w:tc>
        <w:tc>
          <w:tcPr>
            <w:tcW w:w="3240"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致险因素分析</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可能性</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严重程度</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风险值</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风险等级</w:t>
            </w:r>
          </w:p>
        </w:tc>
        <w:tc>
          <w:tcPr>
            <w:tcW w:w="4678"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管控措施</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管控责任人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院区</w:t>
            </w:r>
          </w:p>
        </w:tc>
        <w:tc>
          <w:tcPr>
            <w:tcW w:w="76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院区</w:t>
            </w: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车辆伤害</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院区内车辆行驶速度过快，未注意观察周边环境。</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进入院区车辆限速10km/h，车辆驾乘人员及行人应注意观察周边环境。</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标线不清，停车区堆放其他物资等。</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1.对标线进行定期维护，发现缺失及时补划；</w:t>
            </w:r>
          </w:p>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2.停车区禁止放置其它物料，值班人员落实日常巡查，发现后及时清除。</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物体打击</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墙皮、瓷砖及高处落物。</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定期排查结构外墙及临边设施，高处作业时工具、材料应放置稳妥。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围墙倒塌伤人。</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1.按时巡查，发现问题进行维修和维护；</w:t>
            </w:r>
          </w:p>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2.安装防护装置，提高安全性能，并定期检查装置的实用效果。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高处坠落</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高处进行维护、清洁作业时，人员坠落。</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作业前进行安全技术交底，作业人员应穿戴防护用品，不得酒后、违章冒险作业。雨雪、强风天气避免高处作业。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井盖等临边、洞口防护设施缺失。</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夜间照明应良好，定期对临边、洞口防护设施进行检查维修，确保防护设施齐全有效。</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事故扩大</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车辆未按规定停放，占用应急消防车道。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办公区前应划定消防禁停区域，建立机关车辆通讯录，火灾事故时可及时挪车。</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室外消火栓被遮挡，消防水带、水枪、钩子缺失。</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定期排查，确保设施齐全有效，不得遮挡。</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外来人员闯入，造成财产损失、人员伤亡。</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确保监控设施齐全有效，按规定开展安保巡查。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夜间巡查跌伤、坠落。</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确保照明良好，加强安保人员培训，巡查时注意观察周边环境。</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警卫室</w:t>
            </w: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火灾</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超负荷用电、私拉乱接、违规使用大功率电气等。</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制定用电安全管理制度，加强机关人员用电安全培训，做到人走电断定期巡查，严禁违章用电行为。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电气设备、插座及线路老化、破损。</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w:t>
            </w:r>
          </w:p>
        </w:tc>
        <w:tc>
          <w:tcPr>
            <w:tcW w:w="992" w:type="dxa"/>
            <w:shd w:val="clear" w:color="000000" w:fill="FAE600"/>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使用合格的电气设备，定期巡视检查，发现电气隐患及时处理。</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工区主任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室内吸烟、违章动火。</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加强安保人员消防安全培训，提高人员防火意识。</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消防器材不足、失效。</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室内按规定配置消防器材，定期进行消防巡查。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电气线路绝缘破损、老化、裸露、接线不规范。</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定期巡视检查，发现绝缘破损、裸露的设备及线缆时及时上报维修，不得随意接线。</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电气设备、线缆处积水潮湿。</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电气设备、插座应远离水壶、潮湿场所。定期巡视检查，发现积水时及时上报维修。</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使用不合格的电气设备、插座等。</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使用合格的电气产品，3一般风险认证的合格插座。</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非电气作业人员进行电气维修作业，违章冒险电气作业。</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发现电气隐患时应及时上报，无证人员不得违章作业。电气作业时应穿戴合格防护用品，按规程操作。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暴力纠纷</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与来访人员发生纠纷。</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严格执行来访人员登记管理制度，加强保安人员业务培训。</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处理盗抢事件。</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加强保安人员业务培训，配备防暴器材。</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设备设施及库房</w:t>
            </w:r>
          </w:p>
        </w:tc>
        <w:tc>
          <w:tcPr>
            <w:tcW w:w="76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养护设备设施及库房</w:t>
            </w: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车辆伤害</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车辆出入库速度过快。</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控制车辆出入库速度。</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库区出入库视线不良。</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库房入口应宽敞，无视线阻挡现象，视线不良时，应设专人指挥。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车辆未定期保养维修，带病上路。</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按规定定期对车辆进行维修保养，禁止车辆带病上路。</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无证驾驶。</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驾驶人员应持证上岗，涉及特种或特殊设备应经专业培训后方可操作设备。</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驾驶员酒后、超速等违章驾驶。</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制定驾驶员上岗管理制度，上岗前安全检查。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火灾</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室内吸烟、违章动火。</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制定库房管理制度，对库房进行定期巡视检查。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养护车辆自燃。</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w:t>
            </w:r>
          </w:p>
        </w:tc>
        <w:tc>
          <w:tcPr>
            <w:tcW w:w="992" w:type="dxa"/>
            <w:shd w:val="clear" w:color="000000" w:fill="FAE600"/>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定期对车辆进行检维修，对室外车辆及库房定期排查。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设备接错线路，长时间开启，超压使用。</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加强临时线路检查，离开库房时及时关闭电源；设备设专人管理，禁止设备超负荷运行或带病运行，经常检查，定期维护，严格按照操作规程操作。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库内堆放易燃易爆物品。</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制定库房管理制度，易燃易爆物品应单独存放，对库房进行定期巡视检查。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气瓶质量不佳、储存方式不当。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采用质量可靠的气瓶及附件；分类储存、直立放置，并有防暴晒、防碰倒措施。</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设备及车辆漏油、操作不当等，在检修或使用时发生火灾爆炸事故。</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定期对养护设备、车辆进行检查维修，作业前进行设备检查。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库内因电气线路老化、短路、过负荷等，发生电气火灾事故。</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w:t>
            </w:r>
          </w:p>
        </w:tc>
        <w:tc>
          <w:tcPr>
            <w:tcW w:w="992" w:type="dxa"/>
            <w:shd w:val="clear" w:color="000000" w:fill="FAE600"/>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加强库内电气安全管理，不得超负荷运行、私拉乱接等。</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消防器材配置不当、不足、失效。</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制定库房管理制度，对库房进行定期消防巡视检查。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触电</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电气线路绝缘破损、老化、裸露、接线不规范。</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定期巡视检查，发现绝缘破损、裸露的设备及线缆时及时上报维修，不得随意接线。</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电气设备、线缆处积水潮湿。</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电气设备、插座应远离水壶、潮湿场所。定期巡视检查，发现积水时及时上报维修。</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使用不合格的电气设备、插座等。</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使用合格的电气产品，3一般风险认证的合格插座。</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非电气作业人员进行电气维修作业，违章冒险电气作业。</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发现电气隐患时应及时上报，无证人员不得违章作业。电气作业时应穿戴合格防护用品，按规程操作。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物体打击</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设备及物资摆放固定不牢。</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设备及物资应实行定置化管理，标注放置区域，留出安全距离。</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整理货架时发生货架倒塌、物品掉落。</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整理设备时，禁止无防护措施，冒险强行作业。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墙皮脱落、墙体展板掉落。</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定期对墙体和墙体展板进行检查，发现问题及时修复，确保安全。</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房门控制锁损坏，自行脱落。</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1.定期检查维修库房门，发现问题及时维修，确保安全。</w:t>
            </w:r>
          </w:p>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2.规范相关要求，门下禁止站人。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其他</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库内设备、物资堆放混乱，作业人员穿戴不当等造成扎伤。</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设备及物资应实行定置化管理，零散件应归类储存于固定场所。作业人员不得穿拖鞋、赤脚进入库房。</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开关门时撵手、碰伤。</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按规范要求开、关库房门，禁止违规作业。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地面不整洁、有污渍、水渍、油渍造成扭伤、摔伤。</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保持地面整洁，设备维修后及时清洁地面，物资规范放置，定期整理规范。</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内部物资、设施丢失。</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规范库房钥匙放置位置和监管人员，其他人员禁止私自取用。</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对养护设备设施进行检维修时，发生挤、压、坠落等伤害事故。</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按规程进行设备检查维修。</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养护设施材料及库房</w:t>
            </w: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火灾</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物资未按规定分类堆放。</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w:t>
            </w:r>
          </w:p>
        </w:tc>
        <w:tc>
          <w:tcPr>
            <w:tcW w:w="992" w:type="dxa"/>
            <w:shd w:val="clear" w:color="000000" w:fill="FAE600"/>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物资及分类存放，易燃易爆物品应单独存放。</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室内吸烟、违章动火。</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制定库房管理制度，对库房进行定期巡视检查。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库内因电气线路老化、短路、过载负荷等，发生电气火灾事故。</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加强库内电气安全管理，不得超负荷运行、私拉乱接等。</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堆放易燃易爆物品。</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物资应分类存放，易燃易爆物品应单独存放。</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消防器材配置不当、不足、失效。</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制定库房管理制度，对库房进行定期巡视检查。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触电</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电气线路绝缘破损、老化、裸露、接线不规范。</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定期巡视检查，发现绝缘破损、裸露的设备及线缆时及时上报维修，不得随意接线。</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电气设备、线缆处积水潮湿。</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电气设备、插座应远离水壶、潮湿场所。定期巡视检查，发现积水时及时上报维修。</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使用不合格的电气设备、插座等。</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使用合格的电气产品，3一般风险认证的合格插座。</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非电气作业人员进行电气维修作业，违章冒险电气作业。</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发现电气隐患时应及时上报，无证人员不得违章作业。电气作业时应穿戴合格防护用品，按规程操作。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物体打击</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物资摆放倾斜、过高或是摆放不牢。</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设备及物资应摆放牢固，零散件零散件应归类储存于固定场所。</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物资出入库时搬运不当。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物资出入库时应使用专用设备，人工搬运时应穿戴防护用具，禁止冒险强行作业。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墙皮脱落、墙体展板掉落。</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定期对墙体和墙体展板进行检查，发现问题及时修复，确保安全。</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房门控制锁损坏，自行脱落。</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1.定期检查维修库房门，发现问题及时维修，确保安全。</w:t>
            </w:r>
          </w:p>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2.规范相关要求，门下禁止站人。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整理时货架倒塌、物品掉落。</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设备及物资应实行定置化管理，零散件应归类储存于固定场所。</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其他</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库内物资堆放混乱，作业人员穿戴不当等造成扎伤。</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设备及物资应实行定置化管理，零散件应归类储存于固定场所。作业人员不得穿拖鞋、赤脚进入库房。</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开关门时撵手、碰伤。</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按规范要求开、关库房门，禁止违规作业。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地面不整洁、有污渍、水渍、油渍造成扭伤、摔伤。</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保持地面整洁，设备维修后及时清洁地面，物资规范放置，定期整理规范。</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放置不规范，敞开后未关闭或关闭不严造成泄露。</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规范危险物资放置区域，配备相应的防护措施；有毒、有害物质应按规定存放。</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内部物资、设施丢失。</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规范库房钥匙放置位置和监管人员，其他人员禁止私自取用。</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宿办楼</w:t>
            </w:r>
          </w:p>
        </w:tc>
        <w:tc>
          <w:tcPr>
            <w:tcW w:w="76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办公室</w:t>
            </w:r>
          </w:p>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宿舍</w:t>
            </w:r>
          </w:p>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资料室</w:t>
            </w:r>
          </w:p>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会议室</w:t>
            </w:r>
          </w:p>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阅览室</w:t>
            </w: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火灾</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办公室、会议室、宿舍内超负荷用电、私拉乱接、违规使用大功率电气等。</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制定用电安全管理制度，加强人员用电安全培训，做到人走电断定期巡查，严禁违章用电行为。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热水壶空烧、复印件、充电器等电气设备长时间充电。</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加强人员用电安全培训，做到人走电断。</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电气设备、插座及线路老化、破损。</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992" w:type="dxa"/>
            <w:shd w:val="clear" w:color="000000" w:fill="FAE600"/>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使用合格的电气设备，定期巡视检查，发现电气隐患及时处理。</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室内吸烟、违章动火。</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10</w:t>
            </w:r>
          </w:p>
        </w:tc>
        <w:tc>
          <w:tcPr>
            <w:tcW w:w="992" w:type="dxa"/>
            <w:shd w:val="clear" w:color="000000" w:fill="FAE600"/>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办公室内禁止吸烟，室外公共区域设置专门吸烟场所，吸烟处配置灭火器、水及烟灰缸。加强机关人员消防安全培训，提高人员防火意识。</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消防器材不足、失效。</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室内按规定配置消防器材，定期进行消防巡查。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触电</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电气线路及设备绝缘破损、老化</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定期巡视检查，发现绝缘破损的设备及线缆时及时上报维修。</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电气设备、线缆处积水。</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定期巡视检查，发现积水时及时处理并上报维修。</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使用不合格的电气设备、插座等。</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使用合格的电气产品，3一般风险认证的合格插座。</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非电气作业人员进行电气维修作业。</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发现电气隐患时应及时上报，无证人员不得违章作业。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其他</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窗扣、门锁损坏，物品丢失。</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按规定排查，发现隐患及时处理；人走门窗锁闭。</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门、窗、屋顶漏水，造成设备、材料受损。</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按规定排查，发现隐患及时处理。</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外墙墙皮、高处设备、吊顶等坠落伤人。</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上班前应注意观察周边环境，发现隐患时应及时上报，定期对易坠落设备设施进行维修更换。</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楼道、阳台等处防坠落措施缺损，造成人员坠落事故。</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定期对高处临边设施进行检查维修，确保防护设施齐全有效。</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楼道、楼梯等处湿滑，造成人员摔伤。</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地面有水时应及时墩干。</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电水壶、饮水机损坏造成烫伤。</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定期对水壶、饮水机进行检修维护，确保完好；注水时不能超过最高水位线，避免加热后外溢；水烧开后缓慢倾倒，避免烫伤。</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浴室</w:t>
            </w: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火灾</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浴室内超负荷用电、私拉乱接、违规使用大功率电气等。</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制定用电安全管理制度，加强人员用电安全培训，做到人走电断‘定期巡查，严禁违章用电行为。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线路、插座不防水、绝缘破损等造成短路火灾。</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定期检查维护，发现问题及时修复；明确负责人，停水后及时断电。</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触电</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线路、插座不防水、绝缘破损等造成触电事故。</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定期巡查浴室内设备是否处于安全状态，对电源装置进行重点巡查防范。</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电气设备、线缆处积水。</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定期巡视检查，发现积水时及时上报维修。</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非电气作业人员进行电气维修作业。</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发现电气隐患时应及时上报，无证人员不得违章作业。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restar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其他</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地面湿滑造成人员摔伤。</w:t>
            </w:r>
          </w:p>
        </w:tc>
        <w:tc>
          <w:tcPr>
            <w:tcW w:w="841"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浴室地砖采用防滑地砖，畅通排水管道，避免积水过多。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衣杆锈蚀、超负荷承重，折断伤人。</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定期进行检查维护，发现问题及时修复。</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restart"/>
            <w:vAlign w:val="center"/>
          </w:tcPr>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岩溶池</w:t>
            </w:r>
          </w:p>
        </w:tc>
        <w:tc>
          <w:tcPr>
            <w:tcW w:w="760" w:type="dxa"/>
            <w:vMerge w:val="restart"/>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溶盐池</w:t>
            </w:r>
          </w:p>
        </w:tc>
        <w:tc>
          <w:tcPr>
            <w:tcW w:w="1000" w:type="dxa"/>
            <w:vMerge w:val="restart"/>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火灾</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控制器、电动机超载，短路。</w:t>
            </w:r>
          </w:p>
        </w:tc>
        <w:tc>
          <w:tcPr>
            <w:tcW w:w="841" w:type="dxa"/>
            <w:shd w:val="clear" w:color="000000" w:fill="F2F2F2"/>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电气线路截面面积满足要求，定期检查安全情况。</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消防器材布置不足、失效。</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按规定设置消防器材，定期检查。</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restart"/>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电气线路、插座及设备防水、防潮措施不当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电气线路、插座应防潮，并确保防护设施完好有效。</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设备敷设不当，被压、踩。</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电气线路应有防护措施，不得有裸露、破损。</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电气设备绝缘、接地不当。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对电气设备定期巡查，发现问题时及时整改。</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restart"/>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高处坠落</w:t>
            </w:r>
          </w:p>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淹溺</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高处防护措施不到位。</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孔洞应有防坠网。</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作业人员注意力不集中。</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加强员工安全教育培训。</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夜间作业照明不足。</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夜间作业应有照明。</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雨雪天气地面湿滑。</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雨雪天气作业时，应穿防滑鞋，加强个人防护。</w:t>
            </w:r>
          </w:p>
        </w:tc>
        <w:tc>
          <w:tcPr>
            <w:tcW w:w="1134"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机械设备管理组长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restart"/>
            <w:vAlign w:val="center"/>
          </w:tcPr>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食堂</w:t>
            </w:r>
          </w:p>
        </w:tc>
        <w:tc>
          <w:tcPr>
            <w:tcW w:w="760" w:type="dxa"/>
            <w:vMerge w:val="restart"/>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w:t>
            </w:r>
          </w:p>
        </w:tc>
        <w:tc>
          <w:tcPr>
            <w:tcW w:w="1000" w:type="dxa"/>
            <w:vMerge w:val="restart"/>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火灾</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后厨及储藏间吸烟、违章动火。</w:t>
            </w:r>
          </w:p>
        </w:tc>
        <w:tc>
          <w:tcPr>
            <w:tcW w:w="841" w:type="dxa"/>
            <w:shd w:val="clear" w:color="000000" w:fill="F2F2F2"/>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出台食堂操作规程，严禁违规操作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后厨炉灶周边堆放易燃易爆物品。</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炉 灶周边堆放易燃易爆物品。</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燃油桶储存管理不当。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油脂应单独存放，周边不得堆放易燃易爆物品。</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燃油桶及管道破损破裂、泄露。</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采用质量合格的燃油桶、管道，定期巡查，发现左述现象时及时整改。</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油烟机及烟道油污严重。</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6</w:t>
            </w:r>
          </w:p>
        </w:tc>
        <w:tc>
          <w:tcPr>
            <w:tcW w:w="992" w:type="dxa"/>
            <w:shd w:val="clear" w:color="auto" w:fill="FAE600"/>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一般风险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按规定定期清洗油烟机及烟道。</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超负荷用电、违章使用大功率电气，私拉乱接用电设备。</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加强安全用电管理，严禁违规使用超负荷用电、使用大功率电气、私拉乱接等现象。</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电气设备、灯具不防潮。</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后厨用电应有防潮、防水、防溅措施。</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消防器材不足、失效。</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后厨内配备灭火器、灭火毯，定期进行消防巡查，按时校检器材。</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restart"/>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触电</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电气线路、插座及设备防水、防潮措施不当。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食堂电气线路、灯具、插座应防潮，并确保防护设施完好有效。</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虫鼠咬断线缆。</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食堂配置防鼠器材，做好食堂卫生，定期消毒。</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电气设备绝缘、接地不当。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对电气设备定期巡查，发现问题时及时整改。</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restart"/>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后厨卫生环境差，无关人员进入后厨。</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加强后厨管理，无关人员不得进入后厨。</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地面湿滑。</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地面有水时应及时墩干。</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炊事设备使用不当。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张贴安全操作规程，加强食堂操作人员安全教育培训。</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人离开后不锁门。</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加强食堂管理和操作人员安全教育培训，确保人离门锁</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刀具使用不当。</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加强食堂操作人员安全教育培训。</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高温设备灼烫。</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为作业人员配备防护手套，张贴安全警示标识，出台食堂操作规程，严禁违规操作。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1000" w:type="dxa"/>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0"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高温中暑。</w:t>
            </w:r>
          </w:p>
        </w:tc>
        <w:tc>
          <w:tcPr>
            <w:tcW w:w="841"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992" w:type="dxa"/>
            <w:shd w:val="clear" w:color="000000" w:fill="F2F2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p>
        </w:tc>
        <w:tc>
          <w:tcPr>
            <w:tcW w:w="709" w:type="dxa"/>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p>
        </w:tc>
        <w:tc>
          <w:tcPr>
            <w:tcW w:w="992" w:type="dxa"/>
            <w:shd w:val="clear" w:color="000000" w:fill="3764FF"/>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低风险</w:t>
            </w:r>
          </w:p>
        </w:tc>
        <w:tc>
          <w:tcPr>
            <w:tcW w:w="4678" w:type="dxa"/>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加强操作间通风，做好个人防护，夏天时配备防暑降温食品，条件许可时配备空调设施。</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餐厅</w:t>
            </w:r>
          </w:p>
        </w:tc>
        <w:tc>
          <w:tcPr>
            <w:tcW w:w="100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食物中毒</w:t>
            </w: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刀具、案板生熟不分。</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刀具、案板应生熟分开，张贴标识，食堂操作人员应严格按规定作业。</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无驱蝇、防鼠措施、洗涤剂与杀虫剂交叉感染。</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出台食堂卫生管理规定，做好防鼠、防疫工作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采购过期、质量不合格食品及原材料。</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严格执行食材采购制度，定点采购治理合格的食品、原材料。</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餐具不洁净、不消毒。</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餐具应按时清洁，定期消毒，确保消毒柜完好有效。</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食物保存不当发生变质。</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督促从业人员做好食物冷藏储存工作，加强监督检查</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食堂卫生条件差。</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加强卫生</w:t>
            </w:r>
            <w:r>
              <w:rPr>
                <w:rFonts w:cs="宋体" w:asciiTheme="minorEastAsia" w:hAnsiTheme="minorEastAsia" w:eastAsiaTheme="minorEastAsia"/>
                <w:kern w:val="0"/>
                <w:sz w:val="21"/>
                <w:szCs w:val="21"/>
              </w:rPr>
              <w:t>清洁管理</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人员投毒。</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选择可靠的食堂管理和操作人员，无关人员不得进入后厨。</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食材组合不当、烹饪不熟。</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加强厨师管理人员业务培训，出台食堂操作规程，严禁违规操作。</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触电</w:t>
            </w: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电气线路、插座及设备防水、防潮措施不当。</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食堂电气线路、灯具、插座应防潮，并确保防护设施完好有效。</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虫鼠咬断线缆。</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食堂配置防鼠器材，做好食堂卫生，定期消毒。</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电气设备绝缘、接地不当。</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对电气设备定期巡查，发现问题时及时整改</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restart"/>
            <w:vAlign w:val="center"/>
          </w:tcPr>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维修作业</w:t>
            </w:r>
          </w:p>
        </w:tc>
        <w:tc>
          <w:tcPr>
            <w:tcW w:w="76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高处作业</w:t>
            </w:r>
          </w:p>
        </w:tc>
        <w:tc>
          <w:tcPr>
            <w:tcW w:w="100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高处坠落</w:t>
            </w: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爬梯、高处防护措施不到位</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超过2m作业平台应设置护栏，加强日常巡查维护，确保护栏齐全稳固。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高处作业时个体防护措施不当</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10</w:t>
            </w:r>
          </w:p>
        </w:tc>
        <w:tc>
          <w:tcPr>
            <w:tcW w:w="992" w:type="dxa"/>
            <w:shd w:val="clear" w:color="auto" w:fill="FAE600"/>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一般风险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高处作业人员应佩戴安全带、防滑鞋。</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高处作业人员注意力不集中、酒后、冒险作业</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严格要求职工遵守作业规程,加强安全教育和隐患排查工作，及时纠正违章行为。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室外恶劣天气高处作业</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15</w:t>
            </w:r>
          </w:p>
        </w:tc>
        <w:tc>
          <w:tcPr>
            <w:tcW w:w="992" w:type="dxa"/>
            <w:shd w:val="clear" w:color="auto" w:fill="FAE600"/>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一般风险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除抢险作业外，恶劣天气不得高处作业。恶劣天气高处作业，应设置专人监护。</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有限空间作业</w:t>
            </w:r>
          </w:p>
        </w:tc>
        <w:tc>
          <w:tcPr>
            <w:tcW w:w="100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高处坠落</w:t>
            </w: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爬梯、高处防护措施不到位</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井口周边设置围挡，设置下井专用爬梯。</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高处作业时个体防护措施不当</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作业人员应穿戴防滑鞋，临边人员应与井口保持安全距离。</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井口临边防护措施不当</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严格要求职工遵守作业规程,加强安全教育和隐患排查工作，及时纠正违章行为。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高处作业人员注意力不集中、酒后、冒险作业</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严格要求职工遵守作业规程、加强安全教育</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物体打击</w:t>
            </w: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井口临边防护措施不当</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井口周边设置围挡，夜间设置警示灯。</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井口放置工具、堆载物品</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设备工具、材料应与井口保持安全距离，并堆放稳固。</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中毒窒息</w:t>
            </w: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有限空间作业准备不周，如作业前不清楚井下情况，未进行通风，作业时个体防护措施不当，无人监护等。</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10</w:t>
            </w:r>
          </w:p>
        </w:tc>
        <w:tc>
          <w:tcPr>
            <w:tcW w:w="992" w:type="dxa"/>
            <w:shd w:val="clear" w:color="auto" w:fill="FAE600"/>
            <w:vAlign w:val="center"/>
          </w:tcPr>
          <w:p>
            <w:pPr>
              <w:spacing w:after="0" w:line="400" w:lineRule="exact"/>
              <w:ind w:left="0" w:firstLine="0"/>
              <w:jc w:val="center"/>
              <w:rPr>
                <w:rFonts w:cs="宋体" w:asciiTheme="minorEastAsia" w:hAnsiTheme="minorEastAsia" w:eastAsiaTheme="minorEastAsia"/>
                <w:sz w:val="21"/>
                <w:szCs w:val="21"/>
              </w:rPr>
            </w:pPr>
            <w:r>
              <w:rPr>
                <w:rFonts w:hint="eastAsia" w:cs="宋体" w:asciiTheme="minorEastAsia" w:hAnsiTheme="minorEastAsia" w:eastAsiaTheme="minorEastAsia"/>
                <w:kern w:val="0"/>
                <w:sz w:val="21"/>
                <w:szCs w:val="21"/>
              </w:rPr>
              <w:t>一般风险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r>
              <w:rPr>
                <w:rFonts w:cs="宋体" w:asciiTheme="minorEastAsia" w:hAnsiTheme="minorEastAsia" w:eastAsiaTheme="minorEastAsia"/>
                <w:kern w:val="0"/>
                <w:sz w:val="21"/>
                <w:szCs w:val="21"/>
              </w:rPr>
              <w:t>.</w:t>
            </w:r>
            <w:r>
              <w:rPr>
                <w:rFonts w:hint="eastAsia" w:cs="宋体" w:asciiTheme="minorEastAsia" w:hAnsiTheme="minorEastAsia" w:eastAsiaTheme="minorEastAsia"/>
                <w:kern w:val="0"/>
                <w:sz w:val="21"/>
                <w:szCs w:val="21"/>
              </w:rPr>
              <w:t>作业执行三不进入程序，作业前必须进行安全技术交底，有作业监护人，并了解和掌握有限空间内情况。</w:t>
            </w:r>
          </w:p>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r>
              <w:rPr>
                <w:rFonts w:cs="宋体" w:asciiTheme="minorEastAsia" w:hAnsiTheme="minorEastAsia" w:eastAsiaTheme="minorEastAsia"/>
                <w:kern w:val="0"/>
                <w:sz w:val="21"/>
                <w:szCs w:val="21"/>
              </w:rPr>
              <w:t>.</w:t>
            </w:r>
            <w:r>
              <w:rPr>
                <w:rFonts w:hint="eastAsia" w:cs="宋体" w:asciiTheme="minorEastAsia" w:hAnsiTheme="minorEastAsia" w:eastAsiaTheme="minorEastAsia"/>
                <w:kern w:val="0"/>
                <w:sz w:val="21"/>
                <w:szCs w:val="21"/>
              </w:rPr>
              <w:t>按照先通风、再检测后作业的流程开展作业。</w:t>
            </w:r>
          </w:p>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r>
              <w:rPr>
                <w:rFonts w:cs="宋体" w:asciiTheme="minorEastAsia" w:hAnsiTheme="minorEastAsia" w:eastAsiaTheme="minorEastAsia"/>
                <w:kern w:val="0"/>
                <w:sz w:val="21"/>
                <w:szCs w:val="21"/>
              </w:rPr>
              <w:t>.</w:t>
            </w:r>
            <w:r>
              <w:rPr>
                <w:rFonts w:hint="eastAsia" w:cs="宋体" w:asciiTheme="minorEastAsia" w:hAnsiTheme="minorEastAsia" w:eastAsiaTheme="minorEastAsia"/>
                <w:kern w:val="0"/>
                <w:sz w:val="21"/>
                <w:szCs w:val="21"/>
              </w:rPr>
              <w:t>当发现作业现场有毒气体超标、氧含量不足、人员身体不适等情况时应及时撤出。</w:t>
            </w:r>
          </w:p>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r>
              <w:rPr>
                <w:rFonts w:cs="宋体" w:asciiTheme="minorEastAsia" w:hAnsiTheme="minorEastAsia" w:eastAsiaTheme="minorEastAsia"/>
                <w:kern w:val="0"/>
                <w:sz w:val="21"/>
                <w:szCs w:val="21"/>
              </w:rPr>
              <w:t>.现场监护人员必须</w:t>
            </w:r>
            <w:r>
              <w:rPr>
                <w:rFonts w:hint="eastAsia" w:cs="宋体" w:asciiTheme="minorEastAsia" w:hAnsiTheme="minorEastAsia" w:eastAsiaTheme="minorEastAsia"/>
                <w:kern w:val="0"/>
                <w:sz w:val="21"/>
                <w:szCs w:val="21"/>
              </w:rPr>
              <w:t>全程监护，发现异常时及时通知人员撤离。</w:t>
            </w:r>
          </w:p>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r>
              <w:rPr>
                <w:rFonts w:cs="宋体" w:asciiTheme="minorEastAsia" w:hAnsiTheme="minorEastAsia" w:eastAsiaTheme="minorEastAsia"/>
                <w:kern w:val="0"/>
                <w:sz w:val="21"/>
                <w:szCs w:val="21"/>
              </w:rPr>
              <w:t>.作业人员必须严格遵守有限空间安全操作规程</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当有异常情况时</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严禁盲目施救</w:t>
            </w:r>
            <w:r>
              <w:rPr>
                <w:rFonts w:hint="eastAsia" w:cs="宋体" w:asciiTheme="minorEastAsia" w:hAnsiTheme="minorEastAsia" w:eastAsiaTheme="minorEastAsia"/>
                <w:kern w:val="0"/>
                <w:sz w:val="21"/>
                <w:szCs w:val="21"/>
              </w:rPr>
              <w:t>。</w:t>
            </w:r>
          </w:p>
        </w:tc>
        <w:tc>
          <w:tcPr>
            <w:tcW w:w="1134"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工区主任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淹溺</w:t>
            </w: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水池内水位较高时下水作业。</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作业前应进行抽排水，防止水位过高。</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作业人员注意力不集中、酒后、冒险作业</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加强安全教育培训，现场设置监护。</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车辆通行</w:t>
            </w:r>
          </w:p>
        </w:tc>
        <w:tc>
          <w:tcPr>
            <w:tcW w:w="1000" w:type="dxa"/>
            <w:vMerge w:val="restart"/>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车辆伤害</w:t>
            </w: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车辆未定期保养维修，带病上路。</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10</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一般风险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制定并严格执行车辆安全管理规定，定期对车辆维修保养。</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无证驾驶。</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992" w:type="dxa"/>
            <w:shd w:val="clear" w:color="000000" w:fill="3764FF"/>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低风险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制定并严格执行驾驶员管理规定，无证不得上岗</w:t>
            </w:r>
          </w:p>
        </w:tc>
        <w:tc>
          <w:tcPr>
            <w:tcW w:w="1134" w:type="dxa"/>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20" w:type="dxa"/>
            <w:vMerge w:val="continue"/>
            <w:vAlign w:val="center"/>
          </w:tcPr>
          <w:p>
            <w:pPr>
              <w:spacing w:after="0" w:line="300" w:lineRule="exact"/>
              <w:ind w:left="0" w:firstLine="0"/>
              <w:rPr>
                <w:rFonts w:cs="宋体" w:asciiTheme="minorEastAsia" w:hAnsiTheme="minorEastAsia" w:eastAsiaTheme="minorEastAsia"/>
                <w:kern w:val="0"/>
                <w:sz w:val="21"/>
                <w:szCs w:val="21"/>
              </w:rPr>
            </w:pPr>
          </w:p>
        </w:tc>
        <w:tc>
          <w:tcPr>
            <w:tcW w:w="76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1000" w:type="dxa"/>
            <w:vMerge w:val="continue"/>
            <w:vAlign w:val="center"/>
          </w:tcPr>
          <w:p>
            <w:pPr>
              <w:spacing w:after="0" w:line="400" w:lineRule="exact"/>
              <w:ind w:left="0" w:firstLine="0"/>
              <w:rPr>
                <w:rFonts w:cs="宋体" w:asciiTheme="minorEastAsia" w:hAnsiTheme="minorEastAsia" w:eastAsiaTheme="minorEastAsia"/>
                <w:kern w:val="0"/>
                <w:sz w:val="21"/>
                <w:szCs w:val="21"/>
              </w:rPr>
            </w:pPr>
          </w:p>
        </w:tc>
        <w:tc>
          <w:tcPr>
            <w:tcW w:w="3240"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驾驶员酒后、超速等违章驾驶。</w:t>
            </w:r>
          </w:p>
        </w:tc>
        <w:tc>
          <w:tcPr>
            <w:tcW w:w="841"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2</w:t>
            </w:r>
          </w:p>
        </w:tc>
        <w:tc>
          <w:tcPr>
            <w:tcW w:w="992" w:type="dxa"/>
            <w:shd w:val="clear" w:color="000000" w:fill="F2F2F2"/>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5</w:t>
            </w:r>
          </w:p>
        </w:tc>
        <w:tc>
          <w:tcPr>
            <w:tcW w:w="709"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10</w:t>
            </w:r>
          </w:p>
        </w:tc>
        <w:tc>
          <w:tcPr>
            <w:tcW w:w="992" w:type="dxa"/>
            <w:shd w:val="clear" w:color="auto" w:fill="FAE600"/>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一般风险</w:t>
            </w:r>
          </w:p>
        </w:tc>
        <w:tc>
          <w:tcPr>
            <w:tcW w:w="4678" w:type="dxa"/>
            <w:shd w:val="clear" w:color="auto" w:fill="auto"/>
            <w:vAlign w:val="center"/>
          </w:tcPr>
          <w:p>
            <w:pPr>
              <w:spacing w:after="0" w:line="4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制定奖惩机制并严格落实，加强岗前教育，严禁违章驾驶。</w:t>
            </w:r>
          </w:p>
        </w:tc>
        <w:tc>
          <w:tcPr>
            <w:tcW w:w="1134" w:type="dxa"/>
            <w:shd w:val="clear" w:color="auto" w:fill="auto"/>
            <w:vAlign w:val="center"/>
          </w:tcPr>
          <w:p>
            <w:pPr>
              <w:spacing w:after="0" w:line="4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工区主任</w:t>
            </w:r>
          </w:p>
        </w:tc>
      </w:tr>
    </w:tbl>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p>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p>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p>
    <w:p>
      <w:pPr>
        <w:widowControl w:val="0"/>
        <w:tabs>
          <w:tab w:val="left" w:pos="2832"/>
        </w:tabs>
        <w:spacing w:after="0" w:line="560" w:lineRule="exact"/>
        <w:ind w:left="0" w:firstLine="472" w:firstLineChars="200"/>
        <w:jc w:val="center"/>
        <w:rPr>
          <w:rFonts w:cs="Calibri" w:asciiTheme="minorEastAsia" w:hAnsiTheme="minorEastAsia" w:eastAsiaTheme="minorEastAsia"/>
          <w:szCs w:val="24"/>
        </w:rPr>
      </w:pPr>
    </w:p>
    <w:p>
      <w:pPr>
        <w:widowControl w:val="0"/>
        <w:tabs>
          <w:tab w:val="left" w:pos="2832"/>
        </w:tabs>
        <w:spacing w:after="0" w:line="560" w:lineRule="exact"/>
        <w:ind w:left="0" w:firstLine="472" w:firstLineChars="200"/>
        <w:jc w:val="center"/>
        <w:rPr>
          <w:rFonts w:cs="Calibri" w:asciiTheme="minorEastAsia" w:hAnsiTheme="minorEastAsia" w:eastAsiaTheme="minorEastAsia"/>
          <w:szCs w:val="24"/>
        </w:rPr>
      </w:pPr>
    </w:p>
    <w:p>
      <w:pPr>
        <w:widowControl w:val="0"/>
        <w:tabs>
          <w:tab w:val="left" w:pos="2832"/>
        </w:tabs>
        <w:spacing w:after="0" w:line="560" w:lineRule="exact"/>
        <w:ind w:left="0" w:firstLine="472" w:firstLineChars="200"/>
        <w:jc w:val="center"/>
        <w:rPr>
          <w:rFonts w:cs="Calibri" w:asciiTheme="minorEastAsia" w:hAnsiTheme="minorEastAsia" w:eastAsiaTheme="minorEastAsia"/>
          <w:szCs w:val="24"/>
        </w:rPr>
      </w:pPr>
    </w:p>
    <w:p>
      <w:pPr>
        <w:widowControl w:val="0"/>
        <w:tabs>
          <w:tab w:val="left" w:pos="2832"/>
        </w:tabs>
        <w:spacing w:after="0" w:line="560" w:lineRule="exact"/>
        <w:ind w:left="0" w:firstLine="472" w:firstLineChars="200"/>
        <w:jc w:val="center"/>
        <w:rPr>
          <w:rFonts w:cs="Calibri" w:asciiTheme="minorEastAsia" w:hAnsiTheme="minorEastAsia" w:eastAsiaTheme="minorEastAsia"/>
          <w:szCs w:val="24"/>
        </w:rPr>
      </w:pPr>
    </w:p>
    <w:p>
      <w:pPr>
        <w:widowControl w:val="0"/>
        <w:tabs>
          <w:tab w:val="left" w:pos="2832"/>
        </w:tabs>
        <w:spacing w:after="0" w:line="560" w:lineRule="exact"/>
        <w:ind w:left="0" w:firstLine="472" w:firstLineChars="200"/>
        <w:jc w:val="center"/>
        <w:rPr>
          <w:rFonts w:cs="Calibri" w:asciiTheme="minorEastAsia" w:hAnsiTheme="minorEastAsia" w:eastAsiaTheme="minorEastAsia"/>
          <w:szCs w:val="24"/>
        </w:rPr>
      </w:pPr>
    </w:p>
    <w:bookmarkEnd w:id="29"/>
    <w:p>
      <w:pPr>
        <w:widowControl w:val="0"/>
        <w:spacing w:after="0" w:line="360" w:lineRule="auto"/>
        <w:ind w:left="0" w:firstLine="472" w:firstLineChars="200"/>
        <w:outlineLvl w:val="2"/>
        <w:rPr>
          <w:rFonts w:cs="Calibri" w:asciiTheme="minorEastAsia" w:hAnsiTheme="minorEastAsia" w:eastAsiaTheme="minorEastAsia"/>
          <w:b/>
          <w:szCs w:val="24"/>
        </w:rPr>
      </w:pPr>
      <w:bookmarkStart w:id="31" w:name="_Toc43030377"/>
      <w:bookmarkStart w:id="32" w:name="_Toc105769800"/>
      <w:r>
        <w:rPr>
          <w:rFonts w:hint="eastAsia" w:cs="Calibri" w:asciiTheme="minorEastAsia" w:hAnsiTheme="minorEastAsia" w:eastAsiaTheme="minorEastAsia"/>
          <w:b/>
          <w:szCs w:val="24"/>
        </w:rPr>
        <w:t>2.1.</w:t>
      </w:r>
      <w:r>
        <w:rPr>
          <w:rFonts w:cs="Calibri" w:asciiTheme="minorEastAsia" w:hAnsiTheme="minorEastAsia" w:eastAsiaTheme="minorEastAsia"/>
          <w:b/>
          <w:szCs w:val="24"/>
        </w:rPr>
        <w:t>2</w:t>
      </w:r>
      <w:r>
        <w:rPr>
          <w:rFonts w:hint="eastAsia" w:cs="Calibri" w:asciiTheme="minorEastAsia" w:hAnsiTheme="minorEastAsia" w:eastAsiaTheme="minorEastAsia"/>
          <w:b/>
          <w:szCs w:val="24"/>
        </w:rPr>
        <w:t>养护作业</w:t>
      </w:r>
      <w:bookmarkEnd w:id="31"/>
      <w:bookmarkEnd w:id="32"/>
    </w:p>
    <w:p>
      <w:pPr>
        <w:widowControl w:val="0"/>
        <w:tabs>
          <w:tab w:val="left" w:pos="2832"/>
        </w:tabs>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按照养护作业部位、内容等，划分养护作业风险点如下表所示。</w:t>
      </w:r>
    </w:p>
    <w:p>
      <w:pPr>
        <w:widowControl w:val="0"/>
        <w:tabs>
          <w:tab w:val="left" w:pos="2832"/>
        </w:tabs>
        <w:spacing w:after="0" w:line="560" w:lineRule="exact"/>
        <w:ind w:left="0" w:firstLine="432" w:firstLineChars="200"/>
        <w:jc w:val="center"/>
        <w:rPr>
          <w:rFonts w:cs="Calibri" w:asciiTheme="minorEastAsia" w:hAnsiTheme="minorEastAsia" w:eastAsiaTheme="minorEastAsia"/>
          <w:szCs w:val="24"/>
        </w:rPr>
      </w:pPr>
      <w:r>
        <w:rPr>
          <w:rFonts w:hint="eastAsia" w:cs="Calibri" w:asciiTheme="minorEastAsia" w:hAnsiTheme="minorEastAsia" w:eastAsiaTheme="minorEastAsia"/>
          <w:b/>
          <w:sz w:val="22"/>
          <w:szCs w:val="24"/>
        </w:rPr>
        <w:t>表2-</w:t>
      </w:r>
      <w:r>
        <w:rPr>
          <w:rFonts w:cs="Calibri" w:asciiTheme="minorEastAsia" w:hAnsiTheme="minorEastAsia" w:eastAsiaTheme="minorEastAsia"/>
          <w:b/>
          <w:sz w:val="22"/>
          <w:szCs w:val="24"/>
        </w:rPr>
        <w:t>2</w:t>
      </w:r>
      <w:r>
        <w:rPr>
          <w:rFonts w:hint="eastAsia" w:cs="Calibri" w:asciiTheme="minorEastAsia" w:hAnsiTheme="minorEastAsia" w:eastAsiaTheme="minorEastAsia"/>
          <w:b/>
          <w:sz w:val="22"/>
          <w:szCs w:val="24"/>
        </w:rPr>
        <w:t xml:space="preserve"> 养护作业风险点</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6"/>
        <w:gridCol w:w="11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shd w:val="clear" w:color="000000" w:fill="F2F2F2"/>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养护作业风险点</w:t>
            </w:r>
          </w:p>
        </w:tc>
        <w:tc>
          <w:tcPr>
            <w:tcW w:w="3614" w:type="pct"/>
            <w:shd w:val="clear" w:color="000000" w:fill="F2F2F2"/>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养护作业内容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作业准备</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设备及物资装卸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道路运输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作业区布设/移动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设备及物资装卸（路段）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路基养护</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维修加固路肩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排水设施清淤疏通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修整重新砌筑防护工程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修复浇筑水毁等损坏路基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路面养护</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灌缝作业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挖补作业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维修拦水带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罩面等专项养护工程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385"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桥梁养护</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桥面系养护维修（伸缩缝清理、更换止水带，清理泄水孔、更换水篦子等）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跨线桥立柱维修养护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水泥混凝土构件维修（梁板、墩柱表面剥落、锈涨露筋、裂缝处理、勾缝等）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锥坡及桥台维修养护（整修锥坡、桥台基土修整、回填、增设桥涵踏步、便道）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桥梁支座更换与维护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热熔标线补划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混凝土护栏维修（剥落、露筋刮蹭修复）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5" w:type="pct"/>
            <w:vMerge w:val="restart"/>
            <w:shd w:val="clear" w:color="auto" w:fill="auto"/>
            <w:vAlign w:val="center"/>
          </w:tcPr>
          <w:p>
            <w:pPr>
              <w:spacing w:after="0" w:line="480" w:lineRule="exact"/>
              <w:ind w:left="0" w:firstLine="0"/>
              <w:jc w:val="center"/>
              <w:rPr>
                <w:rFonts w:cs="宋体" w:asciiTheme="minorEastAsia" w:hAnsiTheme="minorEastAsia" w:eastAsiaTheme="minorEastAsia"/>
                <w:kern w:val="0"/>
                <w:sz w:val="20"/>
                <w:szCs w:val="20"/>
              </w:rPr>
            </w:pPr>
            <w:r>
              <w:rPr>
                <w:rFonts w:cs="宋体" w:asciiTheme="minorEastAsia" w:hAnsiTheme="minorEastAsia" w:eastAsiaTheme="minorEastAsia"/>
                <w:kern w:val="0"/>
                <w:sz w:val="20"/>
                <w:szCs w:val="20"/>
              </w:rPr>
              <w:t>隧道养护</w:t>
            </w:r>
          </w:p>
        </w:tc>
        <w:tc>
          <w:tcPr>
            <w:tcW w:w="3614" w:type="pct"/>
            <w:shd w:val="clear" w:color="auto" w:fill="auto"/>
            <w:vAlign w:val="center"/>
          </w:tcPr>
          <w:p>
            <w:pPr>
              <w:spacing w:after="0" w:line="480" w:lineRule="exact"/>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清洁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5" w:type="pct"/>
            <w:vMerge w:val="continue"/>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p>
        </w:tc>
        <w:tc>
          <w:tcPr>
            <w:tcW w:w="3614" w:type="pct"/>
            <w:shd w:val="clear" w:color="auto" w:fill="auto"/>
            <w:vAlign w:val="center"/>
          </w:tcPr>
          <w:p>
            <w:pPr>
              <w:spacing w:after="0" w:line="480" w:lineRule="exact"/>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土建结构养护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5" w:type="pct"/>
            <w:vMerge w:val="continue"/>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p>
        </w:tc>
        <w:tc>
          <w:tcPr>
            <w:tcW w:w="3614" w:type="pct"/>
            <w:shd w:val="clear" w:color="auto" w:fill="auto"/>
            <w:vAlign w:val="center"/>
          </w:tcPr>
          <w:p>
            <w:pPr>
              <w:spacing w:after="0" w:line="480" w:lineRule="exact"/>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机电设施养护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5" w:type="pct"/>
            <w:vMerge w:val="continue"/>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p>
        </w:tc>
        <w:tc>
          <w:tcPr>
            <w:tcW w:w="3614" w:type="pct"/>
            <w:shd w:val="clear" w:color="auto" w:fill="auto"/>
            <w:vAlign w:val="center"/>
          </w:tcPr>
          <w:p>
            <w:pPr>
              <w:spacing w:after="0" w:line="480" w:lineRule="exact"/>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洞口、绿化及其他设施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5"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交安设施</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交通标志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交通标线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防眩板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隔离栅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声屏障、防落网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385"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绿化</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中央分隔带/互通段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路侧/边坡段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385"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除雪作业</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除雪作业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85"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巡查作业</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巡查作业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85"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路域环境整治</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路段清扫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vMerge w:val="continue"/>
            <w:vAlign w:val="center"/>
          </w:tcPr>
          <w:p>
            <w:pPr>
              <w:spacing w:after="0" w:line="240" w:lineRule="auto"/>
              <w:ind w:left="0" w:firstLine="0"/>
              <w:rPr>
                <w:rFonts w:cs="宋体" w:asciiTheme="minorEastAsia" w:hAnsiTheme="minorEastAsia" w:eastAsiaTheme="minorEastAsia"/>
                <w:kern w:val="0"/>
                <w:sz w:val="20"/>
                <w:szCs w:val="20"/>
              </w:rPr>
            </w:pP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路域清理杂物、垃圾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385"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大型清障/事故救援作业</w:t>
            </w:r>
          </w:p>
        </w:tc>
        <w:tc>
          <w:tcPr>
            <w:tcW w:w="3614"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大型清障/事故救援作业</w:t>
            </w:r>
          </w:p>
        </w:tc>
      </w:tr>
    </w:tbl>
    <w:p>
      <w:pPr>
        <w:widowControl w:val="0"/>
        <w:tabs>
          <w:tab w:val="left" w:pos="2832"/>
        </w:tabs>
        <w:spacing w:after="0" w:line="560" w:lineRule="exact"/>
        <w:ind w:left="0" w:firstLine="472" w:firstLineChars="200"/>
        <w:rPr>
          <w:rFonts w:cs="Calibri" w:asciiTheme="minorEastAsia" w:hAnsiTheme="minorEastAsia" w:eastAsiaTheme="minorEastAsia"/>
          <w:szCs w:val="24"/>
        </w:rPr>
      </w:pPr>
    </w:p>
    <w:p>
      <w:pPr>
        <w:widowControl w:val="0"/>
        <w:tabs>
          <w:tab w:val="left" w:pos="2832"/>
        </w:tabs>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按照风险点划分结果，风险辨识评估团队组织人员对养护作业人员进行辨识评估，形成养护作业风险分级管控清单。</w:t>
      </w:r>
    </w:p>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r>
        <w:rPr>
          <w:rFonts w:hint="eastAsia" w:cs="Calibri" w:asciiTheme="minorEastAsia" w:hAnsiTheme="minorEastAsia" w:eastAsiaTheme="minorEastAsia"/>
          <w:b/>
          <w:sz w:val="22"/>
          <w:szCs w:val="24"/>
        </w:rPr>
        <w:t>表2-</w:t>
      </w:r>
      <w:r>
        <w:rPr>
          <w:rFonts w:cs="Calibri" w:asciiTheme="minorEastAsia" w:hAnsiTheme="minorEastAsia" w:eastAsiaTheme="minorEastAsia"/>
          <w:b/>
          <w:sz w:val="22"/>
          <w:szCs w:val="24"/>
        </w:rPr>
        <w:t>3</w:t>
      </w:r>
      <w:r>
        <w:rPr>
          <w:rFonts w:hint="eastAsia" w:cs="Calibri" w:asciiTheme="minorEastAsia" w:hAnsiTheme="minorEastAsia" w:eastAsiaTheme="minorEastAsia"/>
          <w:b/>
          <w:sz w:val="22"/>
          <w:szCs w:val="24"/>
        </w:rPr>
        <w:t xml:space="preserve"> 养护作业风险分级管控清单</w:t>
      </w:r>
    </w:p>
    <w:tbl>
      <w:tblPr>
        <w:tblStyle w:val="30"/>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586"/>
        <w:gridCol w:w="781"/>
        <w:gridCol w:w="784"/>
        <w:gridCol w:w="781"/>
        <w:gridCol w:w="2564"/>
        <w:gridCol w:w="565"/>
        <w:gridCol w:w="709"/>
        <w:gridCol w:w="709"/>
        <w:gridCol w:w="709"/>
        <w:gridCol w:w="5244"/>
        <w:gridCol w:w="993"/>
        <w:gridCol w:w="119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序号</w:t>
            </w:r>
          </w:p>
        </w:tc>
        <w:tc>
          <w:tcPr>
            <w:tcW w:w="501" w:type="pct"/>
            <w:gridSpan w:val="2"/>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风险点</w:t>
            </w:r>
            <w:r>
              <w:rPr>
                <w:rFonts w:ascii="Times New Roman" w:hAnsi="Times New Roman" w:eastAsia="宋体" w:cs="Times New Roman"/>
                <w:b/>
                <w:bCs/>
                <w:kern w:val="0"/>
                <w:sz w:val="18"/>
                <w:szCs w:val="18"/>
              </w:rPr>
              <w:t>/</w:t>
            </w:r>
            <w:r>
              <w:rPr>
                <w:rFonts w:hint="eastAsia" w:ascii="宋体" w:hAnsi="宋体" w:eastAsia="宋体" w:cs="宋体"/>
                <w:b/>
                <w:bCs/>
                <w:kern w:val="0"/>
                <w:sz w:val="18"/>
                <w:szCs w:val="18"/>
              </w:rPr>
              <w:t>风险源</w:t>
            </w:r>
          </w:p>
        </w:tc>
        <w:tc>
          <w:tcPr>
            <w:tcW w:w="250"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风险类型</w:t>
            </w:r>
            <w:r>
              <w:rPr>
                <w:rFonts w:ascii="Times New Roman" w:hAnsi="Times New Roman" w:eastAsia="宋体" w:cs="Times New Roman"/>
                <w:b/>
                <w:bCs/>
                <w:kern w:val="0"/>
                <w:sz w:val="18"/>
                <w:szCs w:val="18"/>
              </w:rPr>
              <w:t xml:space="preserve"> </w:t>
            </w:r>
          </w:p>
        </w:tc>
        <w:tc>
          <w:tcPr>
            <w:tcW w:w="821"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致险因素分析</w:t>
            </w:r>
          </w:p>
        </w:tc>
        <w:tc>
          <w:tcPr>
            <w:tcW w:w="181"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可能性</w:t>
            </w:r>
          </w:p>
        </w:tc>
        <w:tc>
          <w:tcPr>
            <w:tcW w:w="227"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严重程度</w:t>
            </w:r>
          </w:p>
        </w:tc>
        <w:tc>
          <w:tcPr>
            <w:tcW w:w="227"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风险值</w:t>
            </w:r>
          </w:p>
        </w:tc>
        <w:tc>
          <w:tcPr>
            <w:tcW w:w="227"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风险等级</w:t>
            </w:r>
          </w:p>
        </w:tc>
        <w:tc>
          <w:tcPr>
            <w:tcW w:w="1679"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风险管控措施</w:t>
            </w:r>
          </w:p>
        </w:tc>
        <w:tc>
          <w:tcPr>
            <w:tcW w:w="318"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责任单位</w:t>
            </w:r>
          </w:p>
        </w:tc>
        <w:tc>
          <w:tcPr>
            <w:tcW w:w="381" w:type="pct"/>
            <w:vMerge w:val="restart"/>
            <w:shd w:val="clear" w:color="000000" w:fill="F2F2F2"/>
            <w:vAlign w:val="center"/>
          </w:tcPr>
          <w:p>
            <w:pPr>
              <w:spacing w:after="0" w:line="32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责任人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vMerge w:val="continue"/>
            <w:vAlign w:val="center"/>
          </w:tcPr>
          <w:p>
            <w:pPr>
              <w:spacing w:after="0" w:line="320" w:lineRule="exact"/>
              <w:ind w:left="0" w:firstLine="0"/>
              <w:rPr>
                <w:rFonts w:ascii="宋体" w:hAnsi="宋体" w:eastAsia="宋体" w:cs="宋体"/>
                <w:b/>
                <w:bCs/>
                <w:kern w:val="0"/>
                <w:sz w:val="18"/>
                <w:szCs w:val="18"/>
              </w:rPr>
            </w:pPr>
          </w:p>
        </w:tc>
        <w:tc>
          <w:tcPr>
            <w:tcW w:w="501" w:type="pct"/>
            <w:gridSpan w:val="2"/>
            <w:vMerge w:val="continue"/>
            <w:vAlign w:val="center"/>
          </w:tcPr>
          <w:p>
            <w:pPr>
              <w:spacing w:after="0" w:line="320" w:lineRule="exact"/>
              <w:ind w:left="0" w:firstLine="0"/>
              <w:rPr>
                <w:rFonts w:ascii="宋体" w:hAnsi="宋体" w:eastAsia="宋体" w:cs="宋体"/>
                <w:b/>
                <w:bCs/>
                <w:kern w:val="0"/>
                <w:sz w:val="18"/>
                <w:szCs w:val="18"/>
              </w:rPr>
            </w:pPr>
          </w:p>
        </w:tc>
        <w:tc>
          <w:tcPr>
            <w:tcW w:w="250" w:type="pct"/>
            <w:vMerge w:val="continue"/>
            <w:vAlign w:val="center"/>
          </w:tcPr>
          <w:p>
            <w:pPr>
              <w:spacing w:after="0" w:line="320" w:lineRule="exact"/>
              <w:ind w:left="0" w:firstLine="0"/>
              <w:rPr>
                <w:rFonts w:ascii="宋体" w:hAnsi="宋体" w:eastAsia="宋体" w:cs="宋体"/>
                <w:b/>
                <w:bCs/>
                <w:kern w:val="0"/>
                <w:sz w:val="18"/>
                <w:szCs w:val="18"/>
              </w:rPr>
            </w:pPr>
          </w:p>
        </w:tc>
        <w:tc>
          <w:tcPr>
            <w:tcW w:w="821" w:type="pct"/>
            <w:vMerge w:val="continue"/>
            <w:vAlign w:val="center"/>
          </w:tcPr>
          <w:p>
            <w:pPr>
              <w:spacing w:after="0" w:line="320" w:lineRule="exact"/>
              <w:ind w:left="0" w:firstLine="0"/>
              <w:rPr>
                <w:rFonts w:ascii="宋体" w:hAnsi="宋体" w:eastAsia="宋体" w:cs="宋体"/>
                <w:b/>
                <w:bCs/>
                <w:kern w:val="0"/>
                <w:sz w:val="18"/>
                <w:szCs w:val="18"/>
              </w:rPr>
            </w:pPr>
          </w:p>
        </w:tc>
        <w:tc>
          <w:tcPr>
            <w:tcW w:w="181" w:type="pct"/>
            <w:vMerge w:val="continue"/>
            <w:vAlign w:val="center"/>
          </w:tcPr>
          <w:p>
            <w:pPr>
              <w:spacing w:after="0" w:line="320" w:lineRule="exact"/>
              <w:ind w:left="0" w:firstLine="0"/>
              <w:rPr>
                <w:rFonts w:ascii="宋体" w:hAnsi="宋体" w:eastAsia="宋体" w:cs="宋体"/>
                <w:b/>
                <w:bCs/>
                <w:kern w:val="0"/>
                <w:sz w:val="18"/>
                <w:szCs w:val="18"/>
              </w:rPr>
            </w:pPr>
          </w:p>
        </w:tc>
        <w:tc>
          <w:tcPr>
            <w:tcW w:w="227" w:type="pct"/>
            <w:vMerge w:val="continue"/>
            <w:vAlign w:val="center"/>
          </w:tcPr>
          <w:p>
            <w:pPr>
              <w:spacing w:after="0" w:line="320" w:lineRule="exact"/>
              <w:ind w:left="0" w:firstLine="0"/>
              <w:rPr>
                <w:rFonts w:ascii="宋体" w:hAnsi="宋体" w:eastAsia="宋体" w:cs="宋体"/>
                <w:b/>
                <w:bCs/>
                <w:kern w:val="0"/>
                <w:sz w:val="18"/>
                <w:szCs w:val="18"/>
              </w:rPr>
            </w:pPr>
          </w:p>
        </w:tc>
        <w:tc>
          <w:tcPr>
            <w:tcW w:w="227" w:type="pct"/>
            <w:vMerge w:val="continue"/>
            <w:vAlign w:val="center"/>
          </w:tcPr>
          <w:p>
            <w:pPr>
              <w:spacing w:after="0" w:line="320" w:lineRule="exact"/>
              <w:ind w:left="0" w:firstLine="0"/>
              <w:rPr>
                <w:rFonts w:ascii="宋体" w:hAnsi="宋体" w:eastAsia="宋体" w:cs="宋体"/>
                <w:b/>
                <w:bCs/>
                <w:kern w:val="0"/>
                <w:sz w:val="18"/>
                <w:szCs w:val="18"/>
              </w:rPr>
            </w:pPr>
          </w:p>
        </w:tc>
        <w:tc>
          <w:tcPr>
            <w:tcW w:w="227" w:type="pct"/>
            <w:vMerge w:val="continue"/>
            <w:vAlign w:val="center"/>
          </w:tcPr>
          <w:p>
            <w:pPr>
              <w:spacing w:after="0" w:line="320" w:lineRule="exact"/>
              <w:ind w:left="0" w:firstLine="0"/>
              <w:rPr>
                <w:rFonts w:ascii="宋体" w:hAnsi="宋体" w:eastAsia="宋体" w:cs="宋体"/>
                <w:b/>
                <w:bCs/>
                <w:kern w:val="0"/>
                <w:sz w:val="18"/>
                <w:szCs w:val="18"/>
              </w:rPr>
            </w:pPr>
          </w:p>
        </w:tc>
        <w:tc>
          <w:tcPr>
            <w:tcW w:w="1679" w:type="pct"/>
            <w:vMerge w:val="continue"/>
            <w:vAlign w:val="center"/>
          </w:tcPr>
          <w:p>
            <w:pPr>
              <w:spacing w:after="0" w:line="320" w:lineRule="exact"/>
              <w:ind w:left="0" w:firstLine="0"/>
              <w:rPr>
                <w:rFonts w:ascii="宋体" w:hAnsi="宋体" w:eastAsia="宋体" w:cs="宋体"/>
                <w:b/>
                <w:bCs/>
                <w:kern w:val="0"/>
                <w:sz w:val="18"/>
                <w:szCs w:val="18"/>
              </w:rPr>
            </w:pPr>
          </w:p>
        </w:tc>
        <w:tc>
          <w:tcPr>
            <w:tcW w:w="318" w:type="pct"/>
            <w:vMerge w:val="continue"/>
            <w:vAlign w:val="center"/>
          </w:tcPr>
          <w:p>
            <w:pPr>
              <w:spacing w:after="0" w:line="320" w:lineRule="exact"/>
              <w:ind w:left="0" w:firstLine="0"/>
              <w:rPr>
                <w:rFonts w:ascii="宋体" w:hAnsi="宋体" w:eastAsia="宋体" w:cs="宋体"/>
                <w:b/>
                <w:bCs/>
                <w:kern w:val="0"/>
                <w:sz w:val="18"/>
                <w:szCs w:val="18"/>
              </w:rPr>
            </w:pPr>
          </w:p>
        </w:tc>
        <w:tc>
          <w:tcPr>
            <w:tcW w:w="381" w:type="pct"/>
            <w:vMerge w:val="continue"/>
            <w:vAlign w:val="center"/>
          </w:tcPr>
          <w:p>
            <w:pPr>
              <w:spacing w:after="0" w:line="320" w:lineRule="exact"/>
              <w:ind w:left="0" w:firstLine="0"/>
              <w:rPr>
                <w:rFonts w:ascii="宋体" w:hAnsi="宋体" w:eastAsia="宋体" w:cs="宋体"/>
                <w:b/>
                <w:bCs/>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作业准备</w:t>
            </w: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设备及物资装卸（院区）</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起重伤害/物体打击</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吊运时，吊装设备及附件（钢丝绳、吊钩）等质量不合格。</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零散件及大件等物资及设备装卸时，由于捆绑不牢、协调配合不当、人员操作失误或违章冒险作业等原因，造成物品坠落伤人。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选择与设备及物资重量适应的吊运设备，严禁超载。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吊运前检查吊运设备周边环境安全确认，基础及支腿的稳固性，钢丝绳、吊钩及其他安全设施的齐全有效性，并进行试吊。</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散物要捆绑牢固，尽量采取包装后装卸，严禁高抛低接。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抬卸时大件物品时应有足够的人力，设专人指挥。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对库房的管柱类物品进行装卸时，应自上而下，严禁掏底。</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司机室应视野良好，并设专人进行指挥，与司机密切配合。</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夜间应确保照明情况良好，雨雪、六级及以上大风等恶劣天气严禁吊装作业。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装卸作业人员应穿戴合格服装、防砸鞋等。</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吊运过程如遇紧急情况，应及时紧急停车、疏散人员。</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车辆出入车库速度过快，装卸时车辆未停稳、拉手刹，指挥或装卸人员站位不合理等，造成人员伤亡事故。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院内设置限速标志和减速设施，车辆出入库时设专人指挥，速度不得超过5km/h。</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综合管理组组长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车辆出入库时，相关装卸人员应远离车辆，避免站在驾驶员视线盲区。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综合管理组组长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装卸前车辆应停稳，拉手刹，驾驶员对车辆安全状况进行确认。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加强员工（含驾驶员）安全教育培训，提高人员安全意识。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挤压伤害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装卸切割机、隔离栅、护栏板等锋利设备及物资时，造成割伤、刺伤等。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为作业人员配备作业服装、防护手套、防砸鞋等，并监督人员按规定穿戴。</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装卸作业时有专人指挥。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道路运输</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养护车辆及设备技术状况不良(如燃油、润滑油缺失，制动、水箱、电气等系统故障，轮胎磨损、气压不足等）。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按规定定期对车辆及养护设备进行维护保养。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作业前对车辆及养护设备运行情况进行检查，包括燃油、润滑油、轮胎、制动系统、水箱、灯光等，严禁带病运行。</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养护车辆、设备及养护安全设施、警示标识等缺损。</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作业前对养护车辆及设备的警灯、警示标志等安全防护进行检查确认。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根据计划和安排的养护作业项目装载安全标志、标牌及设施，种类、数量和使用状况要满足安全生产规定和要求。</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车辆上运输的物资及设备装设不规范，固定不牢、掉落等。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按规定的吨位装载货物，超长、超宽、超宽物品装运时要悬挂明显标志，并按规定路线行驶。</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运输前进行安全检查，确保设备物资装设稳固，零散件应捆绑牢固。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驾驶员酒后、超速、低速、随意停车、掉头等违章驾驶行为。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定期对对驾驶人员进行安全教育培训和考核，提高驾驶人员道路交通安全意识。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合理安排当班驾驶员。</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对驾驶过程中的违章行为要及时制止。</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驾驶员要严格遵守道路交通规则。</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雨雪雾等恶劣天气上路作业。</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定期对对驾驶人员进行安全教育培训和考核，提高驾驶人员道路交通安全意识。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雨雪雾等恶劣天气减少道路养护作业。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夏季、冬季等特殊季节对车辆进行预防性维护。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冰雪天气时，视情况对车辆采取防滑措施。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作业控制区布设</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作业区布设、移动及拆除过程中，因注意力不集中、作业不规范等造成事故发生。</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布设作业区时应顺着交通流方向设置安全设施，按照先上游后下游、先应急车道后中央分隔带、先标志后设施的次序顺车流方向摆设。</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作业完成后，应逆着交通流方向撤除为养护维修作业而设置的有关安全设施，恢复正常交通。拆除安全标志应按照先中央分隔带后应急车道的次序逆车流方向拆除。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公路养护作业未完成前，不得擅自改变作业控制区的范围和安全设施的布设位置。</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养护作业人员在进行作业区布设时，应设置专人在上游指挥交通、警戒，发现异常情况时及时提醒作业人员避让。</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养护作业人员应按有关规定穿着反光服，佩戴安全帽。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养护作业设备、材料及车辆存放不当。</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过渡区内不得堆放材料、设备或停放车辆，摆放的作业机械、车辆和堆放的施工材料不得侵占作业控制区外的空间。</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路段养护作业控制区设置不符合规范要求。</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定期组织养护安全和业务教育培训，提高作业人员安全意识和作业技能。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作业区布设应符合《公路养护安全作业规程》等相关规定。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布设完成后进行安全确认，并开展作业中安全检查，对不符合技术要求的及时纠正。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收费广场养护作业控制区设置不符合规范要求。</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收费站除应参照路段养护作业控制区相关规定执行外，尚应符合以下规定：1.视影响情况通知监控中心、收费部封闭相应车道。2.进行各类养护作业时不得全部封闭单向收费车道。</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作业时段选择不当，交通量大、雨雪等恶劣天气及夜间作业等。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合理安排作业计划，避开大流量交通、恶劣天气。</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危险路段、恶劣天气、夜间作业时，应加强现场防护和个体防护。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标志、标牌、锥桶、防撞桶等不符合技术要求，或因摆放不稳或强风、外界撞击等侵入车道等。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作业前对标志、标牌、锥桶、防撞桶等进行安全检查，对不符合的应及时更换。</w:t>
            </w:r>
          </w:p>
        </w:tc>
        <w:tc>
          <w:tcPr>
            <w:tcW w:w="318"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夜间养护作业应布设照明设施、警示频闪灯、语音提示等。</w:t>
            </w:r>
          </w:p>
        </w:tc>
        <w:tc>
          <w:tcPr>
            <w:tcW w:w="318"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养护作业安全标志、标牌、锥桶等应摆放位置合理（护栏外）、角度得当（不得被遮挡）。</w:t>
            </w:r>
          </w:p>
        </w:tc>
        <w:tc>
          <w:tcPr>
            <w:tcW w:w="318"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所有标志标牌的固定应确保其稳定，并不得对既有道路及护栏、标志等安全设施的功能造成影响。</w:t>
            </w:r>
          </w:p>
        </w:tc>
        <w:tc>
          <w:tcPr>
            <w:tcW w:w="318"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恶劣天气要加密巡查，对倾倒、移位的要及时扶正、还原。</w:t>
            </w:r>
          </w:p>
        </w:tc>
        <w:tc>
          <w:tcPr>
            <w:tcW w:w="318"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交通引导人员脱岗、站位不合理。</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交通引导人员宜站立在警告区非行车及视线良好区域内，并迎交通流方向。</w:t>
            </w:r>
          </w:p>
        </w:tc>
        <w:tc>
          <w:tcPr>
            <w:tcW w:w="318"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养护作业现场人员未按规定穿戴反光服、酒后等违章冒险作业行为。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作业人员配备（夜间自发光）反光服、手电、肩灯等安全防护用品。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定期组织养护安全和业务教育培训，提高作业人员安全意识和作业技能。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设备及物资装卸（道路）</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养护车辆停驻位置不当，停驻时对侧后方交通情况观察不到位或在来车情况下停驻。</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养护作业车辆选择在应急车道临时停驻，不宜选择急弯陡坡、视距不良、变速车道等位置停车。</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停驻前注意观察侧后方来车，确认安全后缓慢停驻，装卸及养护人员应从右侧下车。</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起重伤害/物体打击</w:t>
            </w:r>
          </w:p>
        </w:tc>
        <w:tc>
          <w:tcPr>
            <w:tcW w:w="82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吊运时，吊装设备及附件（钢丝绳、吊钩）等质量不合格。</w:t>
            </w:r>
          </w:p>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零散件及大件等物资及设备装卸时，由于捆绑不牢、协调配合不当、人员操作失误或违章冒险作业等原因，造成物品坠落伤人。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选择与设备及物资重量适应的吊运设备，严禁超载。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吊运前检查吊运设备周边环境安全确认，基础及支腿的稳固性，钢丝绳、吊钩及其他安全设施的齐全有效性，并进行试吊。</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散物要捆绑牢固，尽量采取包装后装卸，严禁高抛低接。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抬卸时大件物品时应有足够的人力，设专人指挥。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对库房的管柱类物品进行装卸时，应自上而下，严禁掏底。</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司机室应视野良好，并设专人进行指挥，与司机密切配合。</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夜间应确保照明情况良好，雨雪、六级及以上大风等恶劣天气严禁吊装作业。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装卸作业人员应穿戴合格服装、防砸鞋等。</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吊运过程如遇紧急情况，应及时紧急停车、疏散人员。</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装卸时车辆未停稳、拉手刹，指挥或装卸人员站位不合理等，造成人员伤亡事故。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装卸前车辆应停稳，拉手刹，驾驶员对车辆安全状况进行确认。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装卸人员应靠近安全一侧作业。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加强员工（含驾驶员）安全教育培训，提高人员安全意识。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挤压伤害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装卸切割机、隔离栅、护栏板等锋利设备及物资时，造成割伤、刺伤等。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作业人员按规定穿戴防护手套、防砸鞋等劳保用品。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装卸时应指导人员搬运合适的位置，并放置稳妥。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w:t>
            </w: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路肩上装卸作业时，发生坠落事故。</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人员及机械设备、物资材料作业时应与边缘保持安全距离。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装卸过程中，社会车辆超速、失控等闯入作业区等，造成事故。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装卸时设置专人指挥和人员警戒。</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装卸人员应靠近安全一侧作业，随时观察过往车辆。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装卸时车辆未停稳、拉手刹，指挥或装卸人员站位不合理等，造成人员伤亡事故。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装卸前车辆应停稳，拉手刹，驾驶员对车辆安全状况进行确认。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装卸人员应靠近安全一侧作业。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加强员工（含驾驶员）安全教育培训，提高人员安全意识。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作业后遗留杂物、工具。</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作业完毕，整理现场，恢复原貌，及时撤除安全标志、旗帜，安排专人进行现场安全确认。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养护管理员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76</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日常养护</w:t>
            </w: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路基养护</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过往车辆失控、冲入养护作业区。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按规定上报监控中心施工作业。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监控中心根据作业时间，利用可变情报板等及时发布施工信息。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按规范设置养护作业控制区，摆放标志、安全设施、设置交通引导人员等，作业未完成前不得擅自改变或移动。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作业期间定期检查作业区及安全标志、防护设施的设置情况。</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作业人员违章冒险作业：酒后上岗、不穿反光服、随意穿越车道、注意力不集中、车道内或中央分隔带休息等。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定期组织养护安全和业务教育培训，提高作业人员安全意识和作业技能。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作业时间选择不良/作业人员选择不当（选择精神、身体状况不良人员）。</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合理安排作业计划，雨雪、雾霾等恶劣天气及交通量较大时段不宜安排作业。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合理安排作业人员，精神、身体状况不良人员不宜安排当天作业。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车辆伤害/物体打击/触电/财产损失/社会影响</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使用挖掘机、装载机作业时，存在以下风险：1.挖掘机、装载机等作业运输车辆伤人。2.挖掘机、装载机倾覆伤人。3.斗内污泥、碎石坠落伤人。4.作业时碰触周边电缆、建构筑物造成伤人、损物等。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租用设备时，应与相关单位、个人签订安全协议，明确双方责任，并进行安全技术交底。</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作业机械车辆应停放于稳固的位置，机械作业半径范围内不得沾沾</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作业前确认机械设备周边环境，对可能造成影响的应进行标注，或设置防护措施，并设专人警戒、指挥。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开展作业过程的安全检查，对发现的问题及时纠正、制止。</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触电/机械伤害/火灾/灼烫</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发电机进行作业时，存在以下风险：1.发电机质量不佳，接线不规范、线路老化、设备外壳及线路绝缘不良等，造成触电事故。2.发电机机械运转部位对人员造成机械伤害事故。3.柴油燃料等造成火灾事故。4.发电机发热部位对人员造成烫伤。</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作业前检查润滑油油位、冷却液液位、燃油量及各个管路及接头有无漏油漏水现象，电气线路有无破损、连接是否松动等。加油、检修等作业时，必须进行停机。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发电机运转部位、发热部位等容易造成伤害的部位，应有防护罩或明显警示标志。</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开展作业人员业务和安全教育培训，熟知设备操作技能和安全常识。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作业过程中按规定开展检查，对于设备隐患和人员违章行为应及时制止或处理。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高处坠落/物体打击</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1.边沟、泄水槽清淤、边坡修整等作业时，可能会发生人员坠落、物体打击等事故。</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2.需要搭设脚手架或升降车作业时，人员或物资、材料、工具等从脚手架或升降车上坠落。</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拆除及清理原有片石、杂物时作业时不应强行作业，下方不得站人，必要时下方设置警戒区。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作业时尽量避免上下交叉作业，无法避免时，有专人指挥，下方作业人员应选择合理站位，佩戴防护用品。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边坡上的铁锹、砌块等应放置牢固，不得堆放大型设备、物资，不得高抛低接、顺坡滚落。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采用人工方式疏通清理泄水槽等处杂物时，应逐槽自上而下进行作业，下方不得站人。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脚手架及升降车等高处作业平台应设置不低于1.2m的栏杆。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高处作业人员应佩戴安全带、安全帽、防滑鞋等劳保用品。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合理安排作业计划，大风、降雨等恶劣天气严禁室外高处作业。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开展作业人员业务和安全教育培训，提高人员安全常识。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作业前进行安全技术交底，作业过程中按规定开展检查，对于违章行为应及时制止或处理。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坍塌</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需要搭设脚手架或升降车作业时，由于位置不当、基础不牢等，发生倾覆或坍塌等事故。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脚手架应选择质量合格的钢管、连接件，无锈蚀、破损等现象，且连接牢固。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按规定制定脚手架搭设和防护方案。</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占用桥下或路侧道路通行空间时，设置限宽、限高标志和防护设施。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脚手架、升降车等基础应平稳，承载力满足要求，周边无积水。</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脚手架、升降车严禁超载使用，作业人员不宜过多。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作业前进行安全技术交底，作业过程中经常性进行安全检查，对发现的问题及时进行处理。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水毁路段未及时发现、修复不当、修复不及时等，造成水毁坍塌。</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定期对边坡路段进行巡查，汛期加密监测、巡查频率，发现水毁、落石等迹象时及时上报并组织处理。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视水毁坍塌情况制定修复方案、交通保畅方案，并按规定履行相关审批手续。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作业时应配置警戒与监测人员，严密监视路基、边坡状况。</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作业过程中按规定开展检查，对于违章行为应及时制止或处理。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高处坠落/淹溺</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在蓄水池、集水池、渗井附近进行作业时，发生人员坠落事故。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作业前对周边环境进行安全确认，做好临时防护措施。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多人作业时，设专人进行监护、警示。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火灾</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秋冬等季节作业时，作业人员抽烟，引燃周边杂物。</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开展作业人员安全教育培训，提高人员防火意识。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作业过程中按规定开展检查，对于人员违章行为应及时制止。</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其他</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作业时受草、木、石块等划伤、跌伤等。蛇、鼠、蜜蜂等动物咬伤、蛰伤。</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为作业人员配备工作服、手套等劳保用品，配备医疗工具箱。</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特殊路段、天气等作业时，开展作业人员安全教育培训，提高人员防范意识。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路面养护</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过往车辆失控、冲入养护作业区。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按规定上报监控中心施工作业。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监控中心根据作业时间，利用可变情报板等及时发布施工信息。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按规范设置养护作业控制区，摆放标志、安全设施、设置交通引导人员等，作业未完成前不得擅自改变或移动。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作业期间定期检查作业区及安全标志、防护设施的设置情况。</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作业人员违章冒险作业：酒后上岗、不穿反光服、随意穿越车道、注意力不集中、车道内或中央分隔带休息等。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定期组织养护安全和业务教育培训，提高作业人员安全意识和作业技能。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作业时间选择不良/作业人员选择不当（选择精神、身体状况不良人员）。</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合理安排作业计划，雨雪、雾霾等恶劣天气及交通量较大时段不宜安排作业。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合理安排作业人员，精神、身体状况不良人员不宜安排当天作业。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灌缝等作业需要连续作业时，作业区移动顺序不当。养护车辆移动不当，发生交通事故。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移动作业区应按照《公路养护安全作业规程》等相关规定移动。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路面养护作业中，一般情况下施工车辆不可逆向行驶；确需逆向行驶时，必须有专人在现场指挥车辆，禁止随意逆向行驶；施工车辆倒车时要有专人指挥，机械设备作业时不得超出标志设置范围。</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开槽、吹缝等作业时，飞石或其他施工材料落入控制区外、行车道内。</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对飞石、施工材料等要及时清扫。</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吹缝时灰尘影响视线，造成道路交通事故。</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吹缝时应向无行车方向吹，避免司乘人员、行驶车辆视觉受限。</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火灾爆炸</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灌缝机、吹风机等设备使用的汽（柴）油等造成火灾。加热用液化气罐使用管理不当，造成火灾爆炸事故等。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作业前进行设备检查，确保罐体、管道无泄漏。</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作业时设备应竖立放置，避免暴晒，严禁混用，严禁高抛低接、敲打。</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在向油箱加注燃油前必须关闭燃烧器和发动机。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燃烧器点燃后必须有专人看管，停止作业时应及时关闭。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作业时周边不得堆放易燃易爆物品，现场配备灭火器。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加强现场防火管理，对发现的火灾隐患应及时纠正和制止。</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灼烫</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1.灌缝机、开槽机、发电机等设备质量不佳、安全操作使用不当，造成人员烫伤。</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2.沥青加热烘烤、修补作业时，热沥青对人员的灼烫。</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作业前对灌缝机进行安全检查，检查油位、确保软管等无泄漏破损、灌缝枪口出料顺畅、安全防护设施和警示标识齐全。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设备使用过程中，灌缝胶软管必须悬挂在合适位置，严禁沥青喷枪对人。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作业人员应按规定穿戴好防护服、带防护手套、护目镜等，不得解除已加热的灌缝胶。</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发电机等设备运转部位、发热部位等容易造成伤害的部位，应有防护罩或明显警示标志。</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开展员工安全教育培训和技术交底，告知员工勿触碰设备发动机、排气管，使用后的开槽机应放置妥当。</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高处坠落/淹溺</w:t>
            </w: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路面排水井、雨水井等在巡查养护作业时，发生坠落事故。</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作业前对周边环境进行安全确认，做好临时防护措施。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机械伤害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开槽机、吹风机、切割机、风镐等设备破损、连接不牢、运转部位防护不当、人员站位或操作不当，造成伤害事故。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作业前检查设备及附件、安全防护措施有效性。</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作业中作业人员应穿戴整齐。与设备旋转部位保持安全距离。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开展员工安全教育培训和技术交底，提高员工自我防护意识。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桥涵养护</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过往车辆失控、冲入养护作业区。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按规定上报监控中心施工作业。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监控中心根据作业时间，利用可变情报板等及时发布施工信息。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按规范设置养护作业控制区，摆放标志、安全设施、设置交通引导人员等，作业未完成前不得擅自改变或移动。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作业期间定期检查作业区及安全标志、防护设施的设置情况。</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作业人员违章冒险作业：酒后上岗、不穿反光服、随意穿越车道、注意力不集中、车道内或中央分隔带休息等。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定期组织养护安全和业务教育培训，提高作业人员安全意识和作业技能。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作业时间选择不良/作业人员选择不当（选择精神、身体状况不良人员）。</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合理安排作业计划，雨雪、雾霾等恶劣天气及交通量较大时段不宜安排作业。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合理安排作业人员，精神、身体状况不良人员不宜安排当天作业。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桥梁结构养护维修时，清理的杂物、石块、破损止水带等落入控制区外行车道内。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作业前进行安全技术交底，提高作业人员安全意识。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作业时应控制作业力度，及时清扫作业控制区外杂物。</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开展作业中安全检查，对发现的隐患及时处理。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更换止水带等作业需要连续作业时，作业区移动顺序不当。</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227" w:type="pc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移动作业区应按照《公路养护安全作业规程》等相关规定移动。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物体打击/高处坠落/社会影响</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1.桥梁养护维修施工时，对桥下通行的道路交通及其他建构物和人员造成影响。</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2.锥坡及桥台维修养护时，边坡上土体、片石、草木级人员坠落。</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3.搭设的脚手架或升降车、桥检车安全防护不当、人员违章作业等，容易发生高处坠落、物体打击等事故。</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4.清除混凝土表面病害的灰尘、浮浆、松散层时或拆除的泄水管、杂物、垫石，以及需要安装的设施临时固定不牢坠落伤人。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桥梁养护作业前，应首先评估施工作业活动的影响，制定防护方案，并按规定履行相关审批手续。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按规定划定施工区域,并设施隔离设施或装置，夜间须设置灯光警示信号。与桥下交通有相互影响时，应根据方案搭设防护棚、防撞杆等设施。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搭设高处作业平台或使用其他平台时，应保证基础或连接牢固，平台周边设置防坠落设施。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桥台、锥坡上上作业高处作业时应采取以下防护措施：拆除及清理原有片石、杂物时作业时不应强行作业，下方不得站人，必要时下方设置警戒区；作业时尽量避免上下交叉作业，无法避免时，有专人指挥；边坡上不宜存放物品，严禁随意抛落、顺坡滚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高处作业人员应佩戴安全带、安全帽、防滑鞋等劳保用品。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清除杂物时不得直接抛入桥下，桥下有人车通行时设置警戒区，安排人员警戒。</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补浆、植筋等修复作业时采用质量可靠的砂浆、胶等产品，螺栓、钢筋等搭接时应固定牢固。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合理安排作业时间，大风、降雨等恶劣天气严禁室外高处作业。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开展作业前安全技术交底，严禁向桥下抛物，桥下空间应设专人监护与指挥。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坍塌/倒塌</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对桥梁锥坡等进行维修养护作业时，发生坍塌事故：1.作业顺序不当，造成防护工程（片石）坍塌；2.挖掘机等机械设备超挖、掏挖，造成边坡坍塌；3.砌筑工程质量不佳，造成坍塌。</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定期对桥梁锥坡等路段进行巡查，汛期加密监测、巡查频率，发现水毁、落石等迹象时及时上报并组织处理。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视水毁坍塌情况制定修复方案、交通保畅方案，并按规定履行相关审批手续。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作业时应配置警戒与监测人员，严密监视路基、边坡状况。</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作业过程中按规定开展检查，对于违章行为应及时制止或处理。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坍塌</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桥梁养护作业需要搭设脚手架，或使用升降车、桥检车、吊车等大型设备时，由于位置不当、基础不牢等，发生倾覆或坍塌等事故。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脚手架应选择质量合格的钢管、连接件，无锈蚀、破损等现象，且连接牢固。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按规定制定脚手架搭设和防护方案。</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占用桥下或路侧道路通行空间时，设置限宽、限高标志和防护设施。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脚手架、升降车等基础应平稳，承载力满足要求，周边无积水。</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脚手架、升降车严禁超载使用，作业人员不宜过多。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作业前进行安全技术交底，作业过程中经常性进行安全检查，对发现的问题及时进行处理。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起重伤害/社会影响</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使用汽车吊作业时，由于吊装设备及附件（钢丝绳、吊钩）等质量不合格、周边安全防护不当等，容易引起起重伤害、破坏周边建构筑物等风险。</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选择与设备及物资重量适应的吊运设备，严禁超载。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吊运前检查吊运设备周边环境安全确认，与周边建构筑物、电缆及道路边缘保持安全间距。</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确保基础及支腿的稳固性，钢丝绳、吊钩及其他安全设施的齐全有效性，并进行试吊。</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占道作业应设置警戒区，司机室应视野良好，并设专人进行指挥，防止臂杆侵入车道。</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合理安排作业计划，雨雪、六级及以上大风等恶劣天气及夜间不应进行起重吊装作业。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吊运过程中，如遇紧急情况应及时采取紧急停车等安全措施。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加强员工安全教育培训，提高人员安全意识。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物体打击/触电/财产损失/社会影响</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作业时碰触桥梁上敷设的交通标志、设施、电缆、管道等，发生设施坠落、触电等事故。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桥梁养护作业前，应首先了解架设在桥面上下的各种管线的分布情况，制定防护方案，并按规定履行相关审批手续。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在养护作业过程中控制作业力度和半径，注意保护公用设施（煤气、水管、电缆、架空线等）的安全。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现场设置专人指挥和监护，发生紧急情况时，立即终止作业，并采取措施。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物体打击/机械伤害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1.切割机、风镐等设备破损、连接不牢、运转部位防护不当，作业时人员站位不当，违章冒险作业，未按规定穿戴防护手套、鞋等防护用品。</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2.使用风镐、切割等小型作业工具作业时，造成飞石飞物和机械伤人。拆除、安装伸缩缝胶条等作业时，锤、钎伤人。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作业前对设备进行安全检查，选择质量合格的作业工具。</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作业时人员穿戴合格的防护用具。与设备旋转部位保持安全距离。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开展作业中安全检查，对发现的隐患及时处理。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火灾爆炸</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切割、焊接等作业时防火措施或管理不当，造成火灾爆炸事故。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作业前对设备进行安全检查，选用合格的瓶体及附件。</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定期开展作业人员安全教育培训，提高作业人员安全意识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气瓶应竖立放置，避免暴晒，严禁混用，严禁高抛低接、敲打。作业时乙炔瓶、氧气罐安全距离不小于5.0m，与明火作业点的距离不小于100m。切割、焊接作业时，周边应放置消防器材，设置专人防护，清除周边易燃易爆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开展作业中安全检查，对发现的隐患及时处理。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6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触电</w:t>
            </w: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发电机或手持式电动工具质量不佳，接线不规范、线路老化、设备外壳及线路绝缘不良等。</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加强日常检查及机械设备使用交底，严格按照使用规程操作。</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隧道养护</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洞口施工安全警示标志、信息发布等不到位。</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0</w:t>
            </w:r>
          </w:p>
        </w:tc>
        <w:tc>
          <w:tcPr>
            <w:tcW w:w="227" w:type="pct"/>
            <w:vMerge w:val="restart"/>
            <w:shd w:val="clear" w:color="auto"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隧道内养护作业前，应按养护作业规程设置作业控制区，设置安全员。</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shd w:val="clear" w:color="auto" w:fill="auto"/>
            <w:vAlign w:val="center"/>
          </w:tcPr>
          <w:p>
            <w:pPr>
              <w:spacing w:after="0" w:line="320" w:lineRule="exact"/>
              <w:ind w:left="0" w:firstLine="0"/>
              <w:rPr>
                <w:rFonts w:ascii="宋体" w:hAnsi="宋体" w:eastAsia="宋体" w:cs="宋体"/>
                <w:kern w:val="0"/>
                <w:sz w:val="18"/>
                <w:szCs w:val="18"/>
              </w:rPr>
            </w:pPr>
          </w:p>
        </w:tc>
        <w:tc>
          <w:tcPr>
            <w:tcW w:w="181"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FAE600"/>
            <w:vAlign w:val="center"/>
          </w:tcPr>
          <w:p>
            <w:pPr>
              <w:spacing w:after="0" w:line="320" w:lineRule="exact"/>
              <w:ind w:left="0" w:firstLine="0"/>
              <w:jc w:val="center"/>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隧道养护作业时，应按规定发布信息流程。</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指调中心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洞口绿化设施、土石、洞内拱顶材料等坠入行车道。</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1</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5</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养护作业前应做好评估，设置作业警戒区，发现有危险征兆时应及时疏导交通。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隧道清扫时机不当，清扫速度不符合要求。</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0</w:t>
            </w:r>
          </w:p>
        </w:tc>
        <w:tc>
          <w:tcPr>
            <w:tcW w:w="227" w:type="pct"/>
            <w:vMerge w:val="restart"/>
            <w:shd w:val="clear" w:color="auto"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清扫作业时应选择车辆较少，天气较好时机。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shd w:val="clear" w:color="auto" w:fill="auto"/>
            <w:vAlign w:val="center"/>
          </w:tcPr>
          <w:p>
            <w:pPr>
              <w:spacing w:after="0" w:line="320" w:lineRule="exact"/>
              <w:ind w:left="0" w:firstLine="0"/>
              <w:rPr>
                <w:rFonts w:ascii="宋体" w:hAnsi="宋体" w:eastAsia="宋体" w:cs="宋体"/>
                <w:kern w:val="0"/>
                <w:sz w:val="18"/>
                <w:szCs w:val="18"/>
              </w:rPr>
            </w:pPr>
          </w:p>
        </w:tc>
        <w:tc>
          <w:tcPr>
            <w:tcW w:w="181"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FAE600"/>
            <w:vAlign w:val="center"/>
          </w:tcPr>
          <w:p>
            <w:pPr>
              <w:spacing w:after="0" w:line="320" w:lineRule="exact"/>
              <w:ind w:left="0" w:firstLine="0"/>
              <w:jc w:val="center"/>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清扫作业时应开启声光警示标志。</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shd w:val="clear" w:color="auto" w:fill="auto"/>
            <w:vAlign w:val="center"/>
          </w:tcPr>
          <w:p>
            <w:pPr>
              <w:spacing w:after="0" w:line="320" w:lineRule="exact"/>
              <w:ind w:left="0" w:firstLine="0"/>
              <w:rPr>
                <w:rFonts w:ascii="宋体" w:hAnsi="宋体" w:eastAsia="宋体" w:cs="宋体"/>
                <w:kern w:val="0"/>
                <w:sz w:val="18"/>
                <w:szCs w:val="18"/>
              </w:rPr>
            </w:pPr>
          </w:p>
        </w:tc>
        <w:tc>
          <w:tcPr>
            <w:tcW w:w="181"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227" w:type="pct"/>
            <w:vMerge w:val="continue"/>
            <w:shd w:val="clear" w:color="auto" w:fill="FAE600"/>
            <w:vAlign w:val="center"/>
          </w:tcPr>
          <w:p>
            <w:pPr>
              <w:spacing w:after="0" w:line="320" w:lineRule="exact"/>
              <w:ind w:left="0" w:firstLine="0"/>
              <w:jc w:val="center"/>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洞外情报板、车行道指示灯应及时更改。</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指调中心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洞内照明不良。</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5</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0</w:t>
            </w:r>
          </w:p>
        </w:tc>
        <w:tc>
          <w:tcPr>
            <w:tcW w:w="227" w:type="pct"/>
            <w:shd w:val="clear" w:color="auto"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施工作业期间，应按照预定程序开启隧道照明。</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指调中心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过往车辆失控、冲入养护作业区。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按规定上报指调中心施工作业。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指调中心根据作业时间，利用可变情报板等及时发布施工信息。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指调中心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按规范设置养护作业控制区，摆放标志、安全设施、设置交通引导人员等，作业未完成前不得擅自改变或移动。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作业期间定期检查作业区及安全标志、防护设施的设置情况。</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作业人员违章冒险作业：酒后上岗、不穿反光服、随意穿越车道、注意力不集中、车道内。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定期组织养护安全和业务教育培训，提高作业人员安全意识和作业技能。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作业时间选择不良/作业人员选择不当。</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合理安排作业计划，雨雪、雾霾等恶劣天气及交通量较大时段不宜安排作业。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合理安排作业人员，精神、身体状况不良人员不宜安排当天作业。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高处坠落/物体打击</w:t>
            </w: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大风或其他不良天气条件下隧道洞口作业。</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合理安排作业计划，雨雪、雾霾等恶劣天气及交通量较大时段不宜安排作业。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隧道洞口周围边、仰坡受破坏处存在危石未处理</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作业前对洞口危石等进行先期处理。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隧道洞口加固时砖石、树木存在脱落风险</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加固作业时，应首先对隧道洞口设施进行评估。作业时，设置专人进行监护。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隧道壁修复时未按要求施工，存在脱落。</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隧道壁修复时按照施工方案进行作业，对有可能存在脱落的设施尽早进行处理。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隧道顶部日常养护作业未按要求设置脚手架或使用登高车，不稳固。</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拱顶作业按规定设置脚手架</w:t>
            </w:r>
            <w:r>
              <w:rPr>
                <w:rFonts w:hint="eastAsia" w:ascii="宋体" w:hAnsi="宋体" w:eastAsia="宋体" w:cs="宋体"/>
                <w:kern w:val="0"/>
                <w:sz w:val="18"/>
                <w:szCs w:val="18"/>
              </w:rPr>
              <w:t>，</w:t>
            </w:r>
            <w:r>
              <w:rPr>
                <w:rFonts w:ascii="宋体" w:hAnsi="宋体" w:eastAsia="宋体" w:cs="宋体"/>
                <w:kern w:val="0"/>
                <w:sz w:val="18"/>
                <w:szCs w:val="18"/>
              </w:rPr>
              <w:t>并做好作业区域的警示防护</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隧道顶部日常养护作业未设置防护设施。</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高处作业时应有防护措施</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隧道内高处作业车操作不当。</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登高车移动时应有专人防护</w:t>
            </w:r>
            <w:r>
              <w:rPr>
                <w:rFonts w:hint="eastAsia" w:ascii="宋体" w:hAnsi="宋体" w:eastAsia="宋体" w:cs="宋体"/>
                <w:kern w:val="0"/>
                <w:sz w:val="18"/>
                <w:szCs w:val="18"/>
              </w:rPr>
              <w:t>，</w:t>
            </w:r>
            <w:r>
              <w:rPr>
                <w:rFonts w:ascii="宋体" w:hAnsi="宋体" w:eastAsia="宋体" w:cs="宋体"/>
                <w:kern w:val="0"/>
                <w:sz w:val="18"/>
                <w:szCs w:val="18"/>
              </w:rPr>
              <w:t>并保持移动过程中与周边设施的安全距离</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触电</w:t>
            </w: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隧道内存在电缆线破损或线头裸露。</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对破损的线缆及时进行更换</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隧道内带电设备设施布置和安装不规范，警示标</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志脱落、模糊不清等。</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设备带电部位应有警示标志</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机电设备作业时，违章带电作业。</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作业应由专业电工操作</w:t>
            </w:r>
            <w:r>
              <w:rPr>
                <w:rFonts w:hint="eastAsia" w:ascii="宋体" w:hAnsi="宋体" w:eastAsia="宋体" w:cs="宋体"/>
                <w:kern w:val="0"/>
                <w:sz w:val="18"/>
                <w:szCs w:val="18"/>
              </w:rPr>
              <w:t>，</w:t>
            </w:r>
            <w:r>
              <w:rPr>
                <w:rFonts w:ascii="宋体" w:hAnsi="宋体" w:eastAsia="宋体" w:cs="宋体"/>
                <w:kern w:val="0"/>
                <w:sz w:val="18"/>
                <w:szCs w:val="18"/>
              </w:rPr>
              <w:t>使用合格工具</w:t>
            </w:r>
            <w:r>
              <w:rPr>
                <w:rFonts w:hint="eastAsia" w:ascii="宋体" w:hAnsi="宋体" w:eastAsia="宋体" w:cs="宋体"/>
                <w:kern w:val="0"/>
                <w:sz w:val="18"/>
                <w:szCs w:val="18"/>
              </w:rPr>
              <w:t>，</w:t>
            </w:r>
            <w:r>
              <w:rPr>
                <w:rFonts w:ascii="宋体" w:hAnsi="宋体" w:eastAsia="宋体" w:cs="宋体"/>
                <w:kern w:val="0"/>
                <w:sz w:val="18"/>
                <w:szCs w:val="18"/>
              </w:rPr>
              <w:t>做好个人防护</w:t>
            </w:r>
            <w:r>
              <w:rPr>
                <w:rFonts w:hint="eastAsia" w:ascii="宋体" w:hAnsi="宋体" w:eastAsia="宋体" w:cs="宋体"/>
                <w:kern w:val="0"/>
                <w:sz w:val="18"/>
                <w:szCs w:val="18"/>
              </w:rPr>
              <w:t>，</w:t>
            </w:r>
            <w:r>
              <w:rPr>
                <w:rFonts w:ascii="宋体" w:hAnsi="宋体" w:eastAsia="宋体" w:cs="宋体"/>
                <w:kern w:val="0"/>
                <w:sz w:val="18"/>
                <w:szCs w:val="18"/>
              </w:rPr>
              <w:t>按规程操作</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养护、清洁作业碰触带电设备、线缆。</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养护</w:t>
            </w:r>
            <w:r>
              <w:rPr>
                <w:rFonts w:hint="eastAsia" w:ascii="宋体" w:hAnsi="宋体" w:eastAsia="宋体" w:cs="宋体"/>
                <w:kern w:val="0"/>
                <w:sz w:val="18"/>
                <w:szCs w:val="18"/>
              </w:rPr>
              <w:t>、</w:t>
            </w:r>
            <w:r>
              <w:rPr>
                <w:rFonts w:ascii="宋体" w:hAnsi="宋体" w:eastAsia="宋体" w:cs="宋体"/>
                <w:kern w:val="0"/>
                <w:sz w:val="18"/>
                <w:szCs w:val="18"/>
              </w:rPr>
              <w:t>清洁作业时</w:t>
            </w:r>
            <w:r>
              <w:rPr>
                <w:rFonts w:hint="eastAsia" w:ascii="宋体" w:hAnsi="宋体" w:eastAsia="宋体" w:cs="宋体"/>
                <w:kern w:val="0"/>
                <w:sz w:val="18"/>
                <w:szCs w:val="18"/>
              </w:rPr>
              <w:t>，</w:t>
            </w:r>
            <w:r>
              <w:rPr>
                <w:rFonts w:ascii="宋体" w:hAnsi="宋体" w:eastAsia="宋体" w:cs="宋体"/>
                <w:kern w:val="0"/>
                <w:sz w:val="18"/>
                <w:szCs w:val="18"/>
              </w:rPr>
              <w:t>应做好周边设施的防护</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火灾/中毒</w:t>
            </w: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隧道内通风不良。</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1</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10</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shd w:val="clear" w:color="auto"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根据隧道内部环境监测情况</w:t>
            </w:r>
            <w:r>
              <w:rPr>
                <w:rFonts w:hint="eastAsia" w:ascii="宋体" w:hAnsi="宋体" w:eastAsia="宋体" w:cs="宋体"/>
                <w:kern w:val="0"/>
                <w:sz w:val="18"/>
                <w:szCs w:val="18"/>
              </w:rPr>
              <w:t>，</w:t>
            </w:r>
            <w:r>
              <w:rPr>
                <w:rFonts w:ascii="宋体" w:hAnsi="宋体" w:eastAsia="宋体" w:cs="宋体"/>
                <w:kern w:val="0"/>
                <w:sz w:val="18"/>
                <w:szCs w:val="18"/>
              </w:rPr>
              <w:t>及时开启通风</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涂装作业区域，涂装材料存放区域有烟火。</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1</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10</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shd w:val="clear" w:color="auto"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涂装作业时</w:t>
            </w:r>
            <w:r>
              <w:rPr>
                <w:rFonts w:hint="eastAsia" w:ascii="宋体" w:hAnsi="宋体" w:eastAsia="宋体" w:cs="宋体"/>
                <w:kern w:val="0"/>
                <w:sz w:val="18"/>
                <w:szCs w:val="18"/>
              </w:rPr>
              <w:t>严禁烟火。</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shd w:val="clear" w:color="auto" w:fill="auto"/>
            <w:vAlign w:val="center"/>
          </w:tcPr>
          <w:p>
            <w:pPr>
              <w:spacing w:after="0" w:line="320" w:lineRule="exact"/>
              <w:ind w:left="0" w:firstLine="0"/>
              <w:jc w:val="center"/>
              <w:rPr>
                <w:rFonts w:ascii="宋体" w:hAnsi="宋体" w:eastAsia="宋体" w:cs="宋体"/>
                <w:kern w:val="0"/>
                <w:sz w:val="18"/>
                <w:szCs w:val="18"/>
              </w:rPr>
            </w:pPr>
          </w:p>
        </w:tc>
        <w:tc>
          <w:tcPr>
            <w:tcW w:w="82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隧道内动火作业防护措施不当。</w:t>
            </w:r>
          </w:p>
        </w:tc>
        <w:tc>
          <w:tcPr>
            <w:tcW w:w="1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1</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10</w:t>
            </w:r>
          </w:p>
        </w:tc>
        <w:tc>
          <w:tcPr>
            <w:tcW w:w="227"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shd w:val="clear" w:color="auto"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ascii="宋体" w:hAnsi="宋体" w:eastAsia="宋体" w:cs="宋体"/>
                <w:kern w:val="0"/>
                <w:sz w:val="18"/>
                <w:szCs w:val="18"/>
              </w:rPr>
              <w:t>隧道内动火作业时应履行审批手续</w:t>
            </w:r>
            <w:r>
              <w:rPr>
                <w:rFonts w:hint="eastAsia" w:ascii="宋体" w:hAnsi="宋体" w:eastAsia="宋体" w:cs="宋体"/>
                <w:kern w:val="0"/>
                <w:sz w:val="18"/>
                <w:szCs w:val="18"/>
              </w:rPr>
              <w:t>，</w:t>
            </w:r>
            <w:r>
              <w:rPr>
                <w:rFonts w:ascii="宋体" w:hAnsi="宋体" w:eastAsia="宋体" w:cs="宋体"/>
                <w:kern w:val="0"/>
                <w:sz w:val="18"/>
                <w:szCs w:val="18"/>
              </w:rPr>
              <w:t>制度防火方案和应急措施</w:t>
            </w:r>
            <w:r>
              <w:rPr>
                <w:rFonts w:hint="eastAsia" w:ascii="宋体" w:hAnsi="宋体" w:eastAsia="宋体" w:cs="宋体"/>
                <w:kern w:val="0"/>
                <w:sz w:val="18"/>
                <w:szCs w:val="18"/>
              </w:rPr>
              <w:t>，</w:t>
            </w:r>
            <w:r>
              <w:rPr>
                <w:rFonts w:ascii="宋体" w:hAnsi="宋体" w:eastAsia="宋体" w:cs="宋体"/>
                <w:kern w:val="0"/>
                <w:sz w:val="18"/>
                <w:szCs w:val="18"/>
              </w:rPr>
              <w:t>周边设置消防设施</w:t>
            </w:r>
            <w:r>
              <w:rPr>
                <w:rFonts w:hint="eastAsia" w:ascii="宋体" w:hAnsi="宋体" w:eastAsia="宋体" w:cs="宋体"/>
                <w:kern w:val="0"/>
                <w:sz w:val="18"/>
                <w:szCs w:val="18"/>
              </w:rPr>
              <w:t>。</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交安设施养护</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过往车辆失控、冲入养护作业区。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按规定上报监控中心施工作业。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监控中心根据作业时间，利用可变情报板等及时发布施工信息。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按规范设置养护作业控制区，摆放标志、安全设施、设置交通引导人员等，作业未完成前不得擅自改变或移动。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作业期间定期检查作业区及安全标志、防护设施的设置情况。</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作业人员违章冒险作业：酒后上岗、不穿反光服、随意穿越车道、注意力不集中、车道内或中央分隔带休息等。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定期组织养护安全和业务教育培训，提高作业人员安全意识和作业技能。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作业时间选择不良/作业人员选择不当（选择精神、身体状况不良人员）。</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合理安排作业计划，雨雪、雾霾等恶劣天气及交通量较大时段不宜安排作业。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合理安排作业人员，精神、身体状况不良人员不宜安排当天作业。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护栏施工时，打桩车行走或移动时，由于视线不清、操作失误，造成事故。拔桩时固定不牢，造成旧桩甩出、滑落至行车道内。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开展作业人员安全教育和业务培训，提高人员操作技能和安全意识。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作业前检查机械设备性能。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作业人员要根据旧桩损坏情况选择适宜部位固定，打桩车操作人员要定位准确、均匀加力。加强周边警戒，无关人员远离作业区域。</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打桩车移动作业时应观察周边环境，控制行驶速度。</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交通标志、防眩板、防落网等安装不牢坠入行车道、超出公路建筑限界等影响道路交通安。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交通标志、防眩板、防落网等螺栓应安装齐全、拧紧，无法及时安装的应有临时固定措施。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作业后应对安装情况进行验收确认。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清洗标志、护栏等设施时造成路面湿滑。</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按规定选择作业时间。</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作业时控制冲水方向和压力。</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倾覆/倒塌</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维修养护大型交通标志、声屏障等设施需要使用升降车、吊车，作业安全防护不当，容易造成倾覆等事故。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需要占用桥下或路侧道路通行空间时，设置限宽、限高标志和防护设施。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升降车、吊车等基础应平稳，承载力满足要求，周边无积水。</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升降车、吊车严禁超载使用，作业人员不宜过多。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作业前进行安全技术交底，作业过程中经常性进行安全检查，对发现的问题及时进行处理。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强拉硬拽或作业时与周边设施安全间距不足，造成门架、立柱倒塌。</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作业前对设施进行评估，拆卸、安装时应均匀用力。</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起重作业时设置作业区，周边设置人员指挥、警戒。</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起重臂不得直接搭接在立柱、悬臂上，严禁利用道路设施进行牵拉等作业。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新安装的标志、声屏障、隔离栅等设施立柱、基础不牢。</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立柱基础应按设计文件开挖、安装，固定螺栓应拧紧。</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作业后应对安装情况进行验收确认。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起重伤害/社会影响</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使用汽车吊作业时，由于吊装设备及附件（钢丝绳、吊钩）等质量不合格、周边安全防护不当等，容易引起起重伤害、破坏周边建构筑物等风险。</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选择与设备及物资重量适应的吊运设备，严禁超载。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吊运前检查吊运设备周边环境安全确认，与周边建构筑物、电缆及道路边缘保持安全间距。</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确保基础及支腿的稳固性，钢丝绳、吊钩及其他安全设施的齐全有效性，并进行试吊。</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占道作业应设置警戒区，司机室应视野良好，并设专人进行指挥，防止臂杆侵入车道。</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合理安排作业计划，雨雪、六级及以上大风等恶劣天气及夜间不应进行起重吊装作业。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吊运过程中，如遇紧急情况应及时采取紧急停车等安全措施。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加强员工安全教育培训，提高人员安全意识。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高处坠落/物体打击</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1.在升降车等高处作业平台上作业时，安全防护不当、人员违章作业等，容易发生高处坠落、物体打击等事故。</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2.人工抬卸及安装护栏、隔离栅板等设施时，操作和配合不当，出现人员及设备设施跌落、滑落事件。</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升降车等高处作业平台周边应有防护栏杆。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高处作业人员应佩戴安全带、安全帽、防滑鞋等劳保用品。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大风、降雨等恶劣天气严禁室外高处作业。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装卸、运输应使用专用工具，大型设备设施抬卸时应有足够人力，严禁高抛低接等违章冒险行为。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高处作业人员应将手持工具、材料及设备放置稳妥，使用专用工具袋。</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物体打击/交通事故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高处作业时，临时使用工具、材料、螺栓等以及道路临边物资及工具堆放不稳，坠落桥下或坠入行车道内。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开展作业人员安全教育和业务培训，提高人员安全意识。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高处作业时临时设施、工具及材料应放置稳妥。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临时物资、设备应放置妥当，与路肩边缘保持安全距离。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269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火灾爆炸/灼烫</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划线作业时由于液化气罐防护不当、人员安全防护不当等，容易发生火灾爆炸、灼烫等事故。1.液化气罐质量不佳、泄漏、安装不牢等。2.搬运、装卸及使用过程操作不定。</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作业前按规定进行设备点检，检查气罐及附件质量、管线等严密无泄漏、消防器材齐全。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作业过程中做好设备临时防护，严禁暴力作业。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作业人员应穿戴合规，带防护手套，按规定路线和方向施划。</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开展作业中安全检查，对发现的隐患及时进行处理。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机械伤害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使用角磨机切割、电扳手、压剪、手钳等作业时发生机械伤害事故。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作业前检查设备及附件、安全防护措施有效性。</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作业中作业人员应穿戴整齐。与设备旋转部位保持安全距离。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开展员工安全教育培训和技术交底，提高员工自我防护意识。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触电/机械伤害/火灾/灼烫</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发电机进行作业时，存在以下风险：1.发电机质量不佳，接线不规范、线路老化、设备外壳及线路绝缘不良等，造成触电事故。2.发电机机械运转部位对人员造成机械伤害事故。3.柴油燃料等造成火灾事故。4.发电机发热部位对人员造成烫伤。</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作业前检查润滑油油位、冷却液液位、燃油量及各个管路及接头有无漏油漏水现象，电气线路有无破损、连接是否松动等。加油、检修等作业时，必须进行停机。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发电机运转部位、发热部位等容易造成伤害的部位，应有防护罩或明显警示标志。</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开展作业人员业务和安全教育培训，熟知设备操作技能和安全常识。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作业过程中按规定开展检查，对于设备隐患和人员违章行为应及时制止或处理。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机械伤害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使用角磨机切割、电扳手、压剪、手钳等作业时发生机械伤害事故。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作业前检查设备及附件、安全防护措施有效性。</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作业中作业人员应穿戴整齐。与设备旋转部位保持安全距离。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开展员工安全教育培训和技术交底，提高员工自我防护意识。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其他伤害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除锈、喷漆等作业时产生的粉尘及毒物对人员身体造成伤害。</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为作业人员配备防护口罩。</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绿化作业</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过往车辆失控、冲入养护作业区。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按规定上报监控中心施工作业。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监控中心根据作业时间，利用可变情报板等及时发布施工信息。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按规范设置养护作业控制区，摆放标志、安全设施、设置交通引导人员等，作业未完成前不得擅自改变或移动。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作业期间定期检查作业区及安全标志、防护设施的设置情况。</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作业人员违章冒险作业：酒后上岗、不穿反光服、随意穿越车道、注意力不集中、车道内或中央分隔带休息等。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定期组织养护安全和业务教育培训，提高作业人员安全意识和作业技能。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作业时间选择不良/作业人员选择不当（选择精神、身体状况不良人员）。</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合理安排作业计划，雨雪、雾霾等恶劣天气及交通量较大时段不宜安排作业。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合理安排作业人员，精神、身体状况不良人员不宜安排当天作业。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树木栽植或临时固定不牢，发生倾覆伤人、坠入车道等事故。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树木基础应按规定开挖、栽植、回填，并有临时固定措施。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作业后应对树木栽植情况进行验收确认。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水车、绿化设备及绿植摆放及运转不当，坠入或侵入道路限界。</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临时物资、机械设备、绿植不得侵入行车限界，否则应按规定摆放警戒区。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大型树木应切割分段运输，不得侵入行车限界，运输时控制行驶速度。</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物体打击/机械伤害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修剪作业时，人员站位不当或油锯、割灌机安全防护不当等，发生树枝伤人、机械伤人等事故。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作业前检查设备及附件、安全防护措施有效性。</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作业中作业人员应穿戴整齐，与刀片及设备旋转部位保持安全距离。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开展员工安全教育培训和技术交底，提高员工自我防护意识。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高处坠落/物体打击</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人工抬卸及安装绿植时，操作和配合不当，出现人员、设备跌落滑落事件。</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合理安排人员，配备齐全个人防护用品。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作业前进行安全技术交底，作业过程中按规定开展检查，对于违章行为应及时制止或处理。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抬卸时应有足够的人力，不得随意抛落、顺坡滚落。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其他危害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除草等作业时产生的粉尘对人员身体造成伤害。</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为作业人员配备防护口罩。</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喷洒农药防时发生中毒事故。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正规渠道采购质量合格的农药，为作业人员配备齐全防护用品。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开展作业人员安全教育培训，熟悉了解农药的性能和特点，提高人员安全意识。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作业前检查药筒、管道有无泄漏。</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作业人员应穿戴长袖、佩戴口罩、手套等，处于上风向。</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秋冬等季节作业时，作业人员抽烟，引燃周边杂物。</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开展作业人员安全教育培训，提高人员防火意识。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作业过程中按规定开展检查，对于人员违章行为应及时制止。</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作业时受草、木、石块等划伤、跌伤等。蛇、鼠、蜜蜂等动物咬伤、蛰伤。</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为作业人员配备工作服、手套等劳保用品，配备医疗工具箱。</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特殊路段、天气等作业时，开展作业人员安全教育培训，提高人员防范意识。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319</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巡查作业</w:t>
            </w: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巡查作业</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巡查车辆安全技术状况不良，安全警示标识和防护设施缺损。</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按规定对巡查车辆进行维修保养。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作业前对巡查车辆进行检查。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驾驶员酒后、超速、低速、随意停车、掉头等违章驾驶行为及疲劳驾驶。</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合理安排作业计划和时间，选择作业人员，配备反光服。</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对作业人员开展安全教育培训，提高作业人员安全意识。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巡查车辆应控制车速在40~50km/h</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徒步巡查时，进入行车道、横穿车道或嬉戏打闹、车道内休息等，遭到社会车辆撞击。</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合理安排作业计划和时间，选择作业人员，配备反光服。</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对作业人员开展安全教育培训，提高作业人员安全意识。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巡查时穿戴反光服、长袖服装等规定工具，按规定路线逆车流方向巡查。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无特殊情况严禁横穿行、超车道，选择合适实际穿越车道。</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禁止在路面、桥面、护栏上蹲坐、休息。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边坡、锥坡及桥涵路段巡查时坠落，被植被、隔离栅等刺、割伤等。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合理安排作业计划和时间，恶劣天气不宜安排巡查作业。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作业人员应穿戴齐全，包括反光服、防滑鞋等。</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其他</w:t>
            </w:r>
          </w:p>
        </w:tc>
        <w:tc>
          <w:tcPr>
            <w:tcW w:w="82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边坡上下时，上方碎石、绿植坠落伤人，以及被蛇、蜜蜂、蚊虫等动物伤害。</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攀爬时应保持安全间距，注意观察周边环境。</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特殊路段、天气等作业时，开展作业人员安全教育培训，提高人员防范意识。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333</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清扫作业</w:t>
            </w: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清扫作业</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清扫车辆安全技术状况不良，安全警示标识和防护设施缺损。</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按规定对清扫车辆进行维修保养。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作业前对清扫车辆进行检查。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清扫车辆超速、低速行驶、违章变道等。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合理安排作业计划和时间，选择作业人员，配备反光服。</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对作业人员开展安全教育培训，提高作业人员安全意识。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清扫车辆应按规定速度行驶，变道时注意观察来往车辆。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路面污损及掉落物清扫不及时、不彻底、遗留杂物，或清扫时被车辆撞击。</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按规定开展机械清扫路面遗撒物，保持路面整洁。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339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人工清扫时，应按规定设置移动作业区。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清扫完毕后的垃圾应装袋运走，并对现场进行确认。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车辆伤害/物体打击</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人工清扫大型遗落物时人员、车辆配合不当，发生物体打击等事故。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清扫作业现场复杂时，应设置作业区，统一指挥作业。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无法立即清扫的，按规定设置作业控制区，上报监控中心。</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高处坠落/物体打击</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临边及边坡上清扫时发生人员、设备及垃圾坠落事故。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对作业人员开展安全教育培训，提高作业人员安全意识。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合理安排作业计划和时间，选择作业人员，配备反光服、防滑鞋等。</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清运垃圾应装袋运走，禁止高处抛洒，路面或边坡上堆置。</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其他伤害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撒砂石、冲水等作业时，人员上下摔伤、水柱伤人等。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对作业人员开展安全教育培训，提高作业人员安全意识。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作业时应注意观察周边环境，不得违章冒险作业。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348</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专项工程</w:t>
            </w: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交通组织</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社会影响/交通事故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作业时间选择、交通组织方案不当，造成交通拥堵、交通事故等。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专项工程施工前按规定制定交通组织保畅方案，合理安排施工计划，减少对道路交通的影响。</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按规定办理相应路政和交警行政许可。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对需要封闭交通或长时间占用行车道施工的专项工程，除紧急情况外，应按规定将施工信息上报备案。</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需要改变交通流向的专项工程，其施工方案和交通组织方案应征得路政部门和交警部门同意，并按同意后的方案设立交通安全设施。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施工单位要与路政和交警部门密切配合，听从指挥，做好本合同段的保通工作。</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在养护专项工程施工现场应做好现场上游缓冲区设置现场公示牌，向社会公示施工项目内容等相关信息。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施工单位要在施工现场配备交通安全员，指挥和疏导车辆有序通行。当交通量增加发生交通堵塞时，施工单位要暂停施工，确保车辆正常通行。</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安全监督</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安全事故/交通事故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施工及监理单位选择不当、前期准备不足或施工期间安全监督管理不到位、施工现场管理混乱等，造成施工及运营期间交通安全隐患。</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应选择资质适应的施工单位、监理单位，在招标文件及施工合同中明确安全生产条件，并签订安全生产协议。</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按规定组织召开技术交底会，开工前对施工单位的准备工作、相关手续履行情况等进行检查。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施工单位应建立满足养护与施工需要的施工管理机构，配备相应的作业人员，制定切实可行的施工交通组织方案和详细的施工安全保障措施，批准后组织实施。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按规定对施工单位编制的施工组织设计和专项施工方案中进行审查，重点审查交通干扰、保通措施、应急预案等涉及道路结构和交通安全的保障措施。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制定专项工程安全生产管理实施办法，并及时下发至相关参建单位。</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根据专项工程的安全要求，组织监理单位和施工单位有关安全负责人和安全员进行安全培训。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专项工程实行项目工程师制度，加强施工过程中的安全检查工作，确保工程安全能得到有效的控制。</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专项工程完工后，应按照相关规定进行验收并进行技术状况评定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现场防护</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安全事故/交通事故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未按规定设置养护作业控制区、施工现场混乱、人员、设备管理不到位等，发生安全生产事故、交通安全事故等。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合理布设施工作业区，设置标志和安全防护设施，保证施工车辆、人员和过往车辆的安全，必要时还应协助有关部门做好交通疏导工作。</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施工作业时应该按照施工作业面大小设置不同数量（至少一人）安全员负责施工现场的安全管理，安全员应当佩戴醒目的红袖标使其易于和其他施工人员区分。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长期养护作业，现场要安排设施看护员。对夜间不能开放交通的封闭区，安全设施要满足夜间安全设施布置的要求。没有作业时，要留不少于2人的值守人员，相互照应，看管现场、设备，对设置的设施进行看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对规模性大的专项施工，有大型设备、大量材料占用行车道断面而夜间不能撤离的，要配备专用警示灯示警，当专用警示灯发生故障后，要点亮备用的便携式警示灯，以确保通行安全。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养护作业时，严禁施工单位擅自打开中央活动开口，确因施工需要，必须经路政部门批准，打开的开口栅要设专人指挥交通并当天封闭。短时间使用开口栅时，要即开即封。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封闭区内作业的长、大设备如铣刨机、吊车等，实施作业时，要安排专人调度，保证吊杆、传送带等悬出部分不能进入中央分隔带，更不能超出中央分隔带进入另一侧路面，以免作业失误造成人员、车辆伤害。</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遇雨、雾等视线不良时，应停止施工、作业（紧急作业除外）。</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土方开挖、清运废渣土应及时洒水或喷淋降尘，开挖后的废渣土应及时清运。</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施工作业路段、施工便道应派专人清扫并且适时进行洒水作业，防止扬尘。</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施工当日产生的建筑垃圾应当日清理，确保建筑垃圾不过夜。</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桥梁养护作业时应加强车辆限速、限宽和限载的通行控制。经批准允许通行的危险品运输车辆应引导通过。</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当预判桥梁养护作业会出现车辆排队时，应利用收费站、正常路段或警告区布置大型载重汽车停靠区，并布设“重车靠右停靠区”标志，间隔放行大型载重汽车，不得集中放行。</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立交桥上养护作业控制区布置时还应符合以下规定：1.养护作业影响桥下净空时，应在立交桥下方路上布置施工标志、限高及限宽标志，并不得向桥下抛掷任何物品。2.养护作业占用下方公路路面时，立交桥下方公路应布置养护作业控制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养护专项工程施工现场应在上游过渡区设置自动摇旗标志车和警察模型，但不得设置旗手。</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按规定开展安全生产及文明施工检查，对发现的问题要及时处置。</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经常深入工地进行现场检查，对检查过程中发现的问题进行现场整改，严重者下达要求停工整改，或通过监理机构下达监理工程师指令。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379</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应急作业</w:t>
            </w: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除雪作业</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物体打击</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融雪剂装卸时设备故障、操作配合不当，发生人员伤害事故。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按规定对除雪设备设施进行维修保养，确保设备技术状况良好、急停设施有效。</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吊装中严禁物料下方站人，设专人负责现场装载指挥、专人负责装卸开关。</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融雪剂洒布、检查除雪车融雪剂等过程及人员上下车过程中时，发生人员及工具从车辆坠落的事故。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每年开展安全教育培训，为作业人员配备防滑鞋、手套等防护用品，选择适宜的作业人员。</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除雪车辆应控制车速，停车时作业人员方能上下车。</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1.除雪过程中，社会车辆闯入作业路段与除雪车发生追尾或碰撞。</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2.作业车辆超速、跟进过近，推、铲作业时与人工配合不当。</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3.人工除雪时，与机械除雪配合不当受到车辆伤害，或受到社会车辆伤害。</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4.暴雪造成标志、立柱倒塌，上跨桥冰柱、雪体等掉落等对人员和车辆造成伤害。</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按规定对除雪设备设施进行维修保养，确保车辆制动、轮胎防滑等技术状况良好。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作业前检查车辆制动及防滑设施。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根据雪情及交警指令，及时发布预警信息、实施交通阻断等。</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指挥调度分中心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选择经验丰富的驾驶员执行车辆驾驶任务，作业前进行安全技术交底。</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除雪前应调整好洒布量、自动避让设施等，禁止在除雪过程中随意停车。因设备故障或确需调整时，应驶入应急车道。</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作业时合理控制车速，现场统一指挥，按规定路线行驶；陡坡及弯道作业时控制车速；陡坡及弯道需要停车时应有临时制动措施；前后车辆应保持适当距离，注意避让社会车辆。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采用人工除雪时，应设置养护作业区，摆放安全标志，配置安全员。</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每年做好除雪物资准备，按规定值班，开展除雪演练。</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1.清除道路边缘积雪时，人员及车辆发生坠落。</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2.冻伤。</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车辆及人员临边时应与边缘保持一定间距。</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为作业人员配备防寒服、鞋和手套等。</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防汛作业</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交通事故/车辆伤害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1.车辆超速、违章驾驶行为等。</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2.路面湿滑造成交通事故。</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3.清理后的淤泥、杂物未及时清除，或影响被交道路。</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4.处置不及时或不当，造成路基、边坡水毁坍塌滑坡等。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加强汛期道路巡查与监测，发现水毁、滑坡隐患及时上报处置。</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按规定对车辆进行维修保养，确保车辆制动、轮胎防滑等技术状况良好。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清理后的通道要保证被交路干净、整洁，路面无明显水渍或污泥，无明显石块等杂物堆积。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选择合理行驶路线和经验丰富的驾驶员执行车辆驾驶任务，作业前进行安全技术交底。</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车辆伤害/物体打击/触电/财产损失/社会影响</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使用挖掘机、装载机作业时，存在以下风险：1.挖掘机、装载机等作业运输车辆伤人。2.挖掘机、装载机倾覆。3.斗内污泥、碎石坠落伤人。4.作业时碰触周边电缆、建构筑物造成伤人、损物等。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作业前应与相关单位、个人签订安全协议，明确双方责任，并进行安全技术交底。</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作业机械车辆应停放于稳固的位置，机械作业半径范围内不得站人。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作业前确认机械设备周边环境，对可能造成影响的应进行标注，或设置防护措施，并设专人警戒、指挥。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400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对作业人员开展安全教育培训，提高作业人员安全意识。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401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开展作业过程的安全检查，对发现的问题及时纠正、制止。</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02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触电/机械伤害/火灾/灼烫/触电</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使用发电机、抽水泵等设备进行作业时，存在以下风险：1.设备质量不佳，接线不规范、线路老化、设备外壳及线路绝缘不良等，造成触电事故。2.设备运转部位对人员造成机械伤害事故。3.柴油燃料等造成火灾事故。4.设备发热部位对人员造成烫伤。</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租用设备时，应与相关单位、个人签订安全协议，明确双方责任，并进行安全技术交底。</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03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作业机械车辆应停放于稳固的位置，机械作业半径范围内不得沾沾</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04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作业前确认机械设备周边环境，对可能造成影响的应进行标注，或设置防护措施，并设专人警戒、指挥。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05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作业前对电气设备的线缆、接头等进行检查，做好防水防护。</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06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现场设备应置于高处、相对干燥区域，插座、线缆等做好防水防护,线缆应顺直，不得碾压、水泡、硬拉等。</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07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开展作业过程的安全检查，对发现的问题及时纠正、制止。</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08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高处坠落/物体打击</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人工进行清淤、清理泄水槽、打桩等作业时，可能会发生人员坠落、物体打击等事故。</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因地面湿滑、穿着不当、注意力不集中等，人员上下坡或高处时发生坠落事故。</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蓄水池、雨水井、深井等周边或上下作业时，发生人员坠落、淹溺等事故。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拆除及清理原有片石、杂物时作业时不应强行作业，下方不得站人，必要时下方设置警戒区。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09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作业时尽量避免上下交叉作业，无法避免时，有专人指挥，下方作业人员应选择合理站位，佩戴防护用品。</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边坡上的铁锹、砌块等应放置牢固，不得堆放大型设备、物资，不得高抛低接、顺坡滚落。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采用人工方式疏通清理泄水槽等处杂物时，应逐槽自上而下进行作业，下方不得站人。</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作业前对井下及周边环境进行安全确认，设置专人监护，并做好临时防护措施。</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为作业人员提供合格的胶鞋、雨具等。</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开展作业人员业务和安全教育培训，提高人员安全常识，作业前进行安全技术交底。</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作业过程中按规定开展检查，对于违章行为应及时制止或处理。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清障救援</w:t>
            </w: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过往车辆失控、冲入养护作业区。</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监控中心根据作业时间，利用可变情报板等及时发布道路突发信息。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指挥调度分中心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设置作业控制区，摆放标志、安全设施、设置交通引导人员等，作业未完成前不得擅自改变或移动。</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清障及救援车辆、设备停放不合规，违章掉头、清障人员违规穿越车道等。</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进行入场前安全技术交底、安全教育培训。</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19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按规定开展作业，清障车辆、工具及设备不得侵占作业控制区外的空间；除紧急情况外，严禁打开中央分隔带开口。</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雨雪、雾霾等恶劣天气或夜间照明不良。</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加强现场指引与防护，引导社会车辆防止二次事故发生。</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监控中心根据作业时间，利用可变情报板等及时发布道路突发信息。</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指挥调度分中心</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ascii="宋体" w:hAnsi="宋体" w:eastAsia="宋体" w:cs="宋体"/>
                <w:kern w:val="0"/>
                <w:sz w:val="18"/>
                <w:szCs w:val="18"/>
              </w:rPr>
              <w:t>422</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清障救援车辆故障，拖带速度过高、连接不可靠</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按规定定期对救援车辆进行维护保养。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23</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应确保连接牢固、安全措施到位，行进前进行安全确认，按规定路线与速度行驶。</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24</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机械伤害/起重伤害</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1.清障救援车辆技术状况不良、人员操作不到位等，绞盘等部件对人员造成机械伤害事故。</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2.使用切割设备、大锤、撬杠等设备或多人合作时，人员配合不合不当或操作失误，受到挤、压、碰、砸等伤害。</w:t>
            </w:r>
          </w:p>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3.需要吊装时，可能会发生起重伤害事故。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227" w:type="pct"/>
            <w:vMerge w:val="restart"/>
            <w:shd w:val="clear" w:color="000000" w:fill="3764FF"/>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低</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按规定定期对救援车辆进行维护保养。</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25</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大型救援时应配合专业部门作业。</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6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26</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现场作业人员应穿戴合格,遵守现场统一指挥。</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27</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需要吊装作业时，应选用相应规格的钢丝绳、吊索、吊钩，其性能应符合标准和使用要求；起吊设备基础应平稳，支腿全部打开、平齐；吊运前检查吊运设备周边环境安全确认，设置警戒区和现场指挥人员。</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28</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火灾爆炸</w:t>
            </w:r>
          </w:p>
        </w:tc>
        <w:tc>
          <w:tcPr>
            <w:tcW w:w="821" w:type="pct"/>
            <w:vMerge w:val="restar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道路交通事故救援时，发生油品泄漏、火灾爆炸事故。</w:t>
            </w:r>
          </w:p>
        </w:tc>
        <w:tc>
          <w:tcPr>
            <w:tcW w:w="181"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w:t>
            </w:r>
          </w:p>
        </w:tc>
        <w:tc>
          <w:tcPr>
            <w:tcW w:w="227" w:type="pct"/>
            <w:vMerge w:val="restar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w:t>
            </w:r>
          </w:p>
        </w:tc>
        <w:tc>
          <w:tcPr>
            <w:tcW w:w="227" w:type="pct"/>
            <w:vMerge w:val="restart"/>
            <w:shd w:val="clear" w:color="000000" w:fill="FAE600"/>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一般</w:t>
            </w: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制定道路车辆自燃、危化品泄漏爆炸应急预案，按规定开展应急演练，提高作业人员应急救援能力。</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29</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发生事故后应及时上报监控中心和专业救援部门，不得盲目施救。</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30</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按照交警指令，现场设置警戒区，疏散无关人员和车辆。</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88" w:type="pct"/>
            <w:shd w:val="clear" w:color="auto" w:fill="auto"/>
            <w:vAlign w:val="center"/>
          </w:tcPr>
          <w:p>
            <w:pPr>
              <w:spacing w:after="0" w:line="32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31</w:t>
            </w: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251" w:type="pct"/>
            <w:vMerge w:val="continue"/>
            <w:vAlign w:val="center"/>
          </w:tcPr>
          <w:p>
            <w:pPr>
              <w:spacing w:after="0" w:line="320" w:lineRule="exact"/>
              <w:ind w:left="0" w:firstLine="0"/>
              <w:rPr>
                <w:rFonts w:ascii="宋体" w:hAnsi="宋体" w:eastAsia="宋体" w:cs="宋体"/>
                <w:kern w:val="0"/>
                <w:sz w:val="18"/>
                <w:szCs w:val="18"/>
              </w:rPr>
            </w:pPr>
          </w:p>
        </w:tc>
        <w:tc>
          <w:tcPr>
            <w:tcW w:w="250" w:type="pct"/>
            <w:vMerge w:val="continue"/>
            <w:vAlign w:val="center"/>
          </w:tcPr>
          <w:p>
            <w:pPr>
              <w:spacing w:after="0" w:line="320" w:lineRule="exact"/>
              <w:ind w:left="0" w:firstLine="0"/>
              <w:rPr>
                <w:rFonts w:ascii="宋体" w:hAnsi="宋体" w:eastAsia="宋体" w:cs="宋体"/>
                <w:kern w:val="0"/>
                <w:sz w:val="18"/>
                <w:szCs w:val="18"/>
              </w:rPr>
            </w:pPr>
          </w:p>
        </w:tc>
        <w:tc>
          <w:tcPr>
            <w:tcW w:w="821" w:type="pct"/>
            <w:vMerge w:val="continue"/>
            <w:vAlign w:val="center"/>
          </w:tcPr>
          <w:p>
            <w:pPr>
              <w:spacing w:after="0" w:line="320" w:lineRule="exact"/>
              <w:ind w:left="0" w:firstLine="0"/>
              <w:rPr>
                <w:rFonts w:ascii="宋体" w:hAnsi="宋体" w:eastAsia="宋体" w:cs="宋体"/>
                <w:kern w:val="0"/>
                <w:sz w:val="18"/>
                <w:szCs w:val="18"/>
              </w:rPr>
            </w:pPr>
          </w:p>
        </w:tc>
        <w:tc>
          <w:tcPr>
            <w:tcW w:w="181"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227" w:type="pct"/>
            <w:vMerge w:val="continue"/>
            <w:vAlign w:val="center"/>
          </w:tcPr>
          <w:p>
            <w:pPr>
              <w:spacing w:after="0" w:line="320" w:lineRule="exact"/>
              <w:ind w:left="0" w:firstLine="0"/>
              <w:rPr>
                <w:rFonts w:ascii="宋体" w:hAnsi="宋体" w:eastAsia="宋体" w:cs="宋体"/>
                <w:kern w:val="0"/>
                <w:sz w:val="18"/>
                <w:szCs w:val="18"/>
              </w:rPr>
            </w:pPr>
          </w:p>
        </w:tc>
        <w:tc>
          <w:tcPr>
            <w:tcW w:w="1679"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现场救援人员应做好个人防护，不得聚集和冒险救援。</w:t>
            </w:r>
          </w:p>
        </w:tc>
        <w:tc>
          <w:tcPr>
            <w:tcW w:w="318"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工程部</w:t>
            </w:r>
          </w:p>
        </w:tc>
        <w:tc>
          <w:tcPr>
            <w:tcW w:w="381" w:type="pct"/>
            <w:shd w:val="clear" w:color="auto" w:fill="auto"/>
            <w:vAlign w:val="center"/>
          </w:tcPr>
          <w:p>
            <w:pPr>
              <w:spacing w:after="0" w:line="32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r>
    </w:tbl>
    <w:p>
      <w:pPr>
        <w:widowControl w:val="0"/>
        <w:tabs>
          <w:tab w:val="left" w:pos="2832"/>
        </w:tabs>
        <w:spacing w:after="0" w:line="560" w:lineRule="exact"/>
        <w:ind w:left="0" w:firstLine="432" w:firstLineChars="200"/>
        <w:jc w:val="center"/>
        <w:rPr>
          <w:rFonts w:cs="Calibri" w:asciiTheme="minorEastAsia" w:hAnsiTheme="minorEastAsia" w:eastAsiaTheme="minorEastAsia"/>
          <w:b/>
          <w:sz w:val="22"/>
          <w:szCs w:val="24"/>
        </w:rPr>
      </w:pPr>
    </w:p>
    <w:p>
      <w:pPr>
        <w:widowControl w:val="0"/>
        <w:tabs>
          <w:tab w:val="left" w:pos="2832"/>
        </w:tabs>
        <w:spacing w:after="0" w:line="560" w:lineRule="exact"/>
        <w:ind w:left="0" w:firstLine="472" w:firstLineChars="200"/>
        <w:jc w:val="center"/>
        <w:rPr>
          <w:rFonts w:cs="Calibri" w:asciiTheme="minorEastAsia" w:hAnsiTheme="minorEastAsia" w:eastAsiaTheme="minorEastAsia"/>
          <w:szCs w:val="24"/>
        </w:rPr>
      </w:pPr>
    </w:p>
    <w:p>
      <w:pPr>
        <w:spacing w:after="0" w:line="240" w:lineRule="auto"/>
        <w:ind w:left="0" w:firstLine="0"/>
        <w:rPr>
          <w:rFonts w:cs="Calibri" w:asciiTheme="minorEastAsia" w:hAnsiTheme="minorEastAsia" w:eastAsiaTheme="minorEastAsia"/>
          <w:b/>
          <w:sz w:val="28"/>
          <w:szCs w:val="24"/>
        </w:rPr>
      </w:pPr>
      <w:r>
        <w:rPr>
          <w:rFonts w:cs="Calibri" w:asciiTheme="minorEastAsia" w:hAnsiTheme="minorEastAsia" w:eastAsiaTheme="minorEastAsia"/>
          <w:b/>
          <w:sz w:val="28"/>
          <w:szCs w:val="24"/>
        </w:rPr>
        <w:br w:type="page"/>
      </w:r>
    </w:p>
    <w:p>
      <w:pPr>
        <w:widowControl w:val="0"/>
        <w:spacing w:before="292" w:beforeLines="50" w:after="292" w:afterLines="50" w:line="560" w:lineRule="exact"/>
        <w:ind w:left="0" w:hanging="11"/>
        <w:outlineLvl w:val="1"/>
        <w:rPr>
          <w:rFonts w:cs="Calibri" w:asciiTheme="minorEastAsia" w:hAnsiTheme="minorEastAsia" w:eastAsiaTheme="minorEastAsia"/>
          <w:b/>
          <w:color w:val="000000" w:themeColor="text1"/>
          <w:sz w:val="28"/>
          <w:szCs w:val="24"/>
        </w:rPr>
      </w:pPr>
      <w:bookmarkStart w:id="33" w:name="_Toc43030378"/>
      <w:bookmarkStart w:id="34" w:name="_Toc105769801"/>
      <w:r>
        <w:rPr>
          <w:rFonts w:hint="eastAsia" w:cs="Calibri" w:asciiTheme="minorEastAsia" w:hAnsiTheme="minorEastAsia" w:eastAsiaTheme="minorEastAsia"/>
          <w:b/>
          <w:color w:val="000000" w:themeColor="text1"/>
          <w:sz w:val="28"/>
          <w:szCs w:val="24"/>
        </w:rPr>
        <w:t>2.2风险</w:t>
      </w:r>
      <w:bookmarkEnd w:id="33"/>
      <w:r>
        <w:rPr>
          <w:rFonts w:hint="eastAsia" w:cs="Calibri" w:asciiTheme="minorEastAsia" w:hAnsiTheme="minorEastAsia" w:eastAsiaTheme="minorEastAsia"/>
          <w:b/>
          <w:color w:val="000000" w:themeColor="text1"/>
          <w:sz w:val="28"/>
          <w:szCs w:val="24"/>
        </w:rPr>
        <w:t>告知牌</w:t>
      </w:r>
      <w:bookmarkEnd w:id="34"/>
    </w:p>
    <w:p>
      <w:pPr>
        <w:widowControl w:val="0"/>
        <w:spacing w:after="0" w:line="360" w:lineRule="auto"/>
        <w:ind w:left="0" w:firstLine="472" w:firstLineChars="200"/>
        <w:jc w:val="both"/>
        <w:rPr>
          <w:rFonts w:cs="宋体" w:asciiTheme="minorEastAsia" w:hAnsiTheme="minorEastAsia" w:eastAsiaTheme="minorEastAsia"/>
          <w:szCs w:val="24"/>
        </w:rPr>
      </w:pPr>
      <w:r>
        <w:rPr>
          <w:rFonts w:cs="宋体" w:asciiTheme="minorEastAsia" w:hAnsiTheme="minorEastAsia" w:eastAsiaTheme="minorEastAsia"/>
          <w:szCs w:val="24"/>
        </w:rPr>
        <w:t>根据路段</w:t>
      </w:r>
      <w:r>
        <w:rPr>
          <w:rFonts w:hint="eastAsia" w:cs="宋体" w:asciiTheme="minorEastAsia" w:hAnsiTheme="minorEastAsia" w:eastAsiaTheme="minorEastAsia"/>
          <w:szCs w:val="24"/>
        </w:rPr>
        <w:t>、</w:t>
      </w:r>
      <w:r>
        <w:rPr>
          <w:rFonts w:cs="宋体" w:asciiTheme="minorEastAsia" w:hAnsiTheme="minorEastAsia" w:eastAsiaTheme="minorEastAsia"/>
          <w:szCs w:val="24"/>
        </w:rPr>
        <w:t>桥梁风险评估结果</w:t>
      </w:r>
      <w:r>
        <w:rPr>
          <w:rFonts w:hint="eastAsia" w:cs="宋体" w:asciiTheme="minorEastAsia" w:hAnsiTheme="minorEastAsia" w:eastAsiaTheme="minorEastAsia"/>
          <w:szCs w:val="24"/>
        </w:rPr>
        <w:t>，</w:t>
      </w:r>
      <w:r>
        <w:rPr>
          <w:rFonts w:cs="宋体" w:asciiTheme="minorEastAsia" w:hAnsiTheme="minorEastAsia" w:eastAsiaTheme="minorEastAsia"/>
          <w:szCs w:val="24"/>
        </w:rPr>
        <w:t>绘制</w:t>
      </w:r>
      <w:r>
        <w:rPr>
          <w:rFonts w:hint="eastAsia" w:cs="宋体" w:asciiTheme="minorEastAsia" w:hAnsiTheme="minorEastAsia" w:eastAsiaTheme="minorEastAsia"/>
          <w:szCs w:val="24"/>
        </w:rPr>
        <w:t>养护工区</w:t>
      </w:r>
      <w:r>
        <w:rPr>
          <w:rFonts w:cs="宋体" w:asciiTheme="minorEastAsia" w:hAnsiTheme="minorEastAsia" w:eastAsiaTheme="minorEastAsia"/>
          <w:szCs w:val="24"/>
        </w:rPr>
        <w:t>安全风险告知牌</w:t>
      </w:r>
      <w:r>
        <w:rPr>
          <w:rFonts w:hint="eastAsia" w:cs="宋体" w:asciiTheme="minorEastAsia" w:hAnsiTheme="minorEastAsia" w:eastAsiaTheme="minorEastAsia"/>
          <w:szCs w:val="24"/>
        </w:rPr>
        <w:t>如下：</w:t>
      </w:r>
    </w:p>
    <w:p>
      <w:pPr>
        <w:widowControl w:val="0"/>
        <w:spacing w:after="0" w:line="360" w:lineRule="auto"/>
        <w:ind w:left="0" w:firstLine="472" w:firstLineChars="200"/>
        <w:jc w:val="both"/>
        <w:rPr>
          <w:rFonts w:cs="宋体" w:asciiTheme="minorEastAsia" w:hAnsiTheme="minorEastAsia" w:eastAsiaTheme="minorEastAsia"/>
          <w:szCs w:val="24"/>
        </w:rPr>
      </w:pPr>
    </w:p>
    <w:p>
      <w:pPr>
        <w:widowControl w:val="0"/>
        <w:spacing w:after="0" w:line="360" w:lineRule="auto"/>
        <w:ind w:left="0" w:firstLine="472" w:firstLineChars="200"/>
        <w:jc w:val="both"/>
        <w:rPr>
          <w:rFonts w:cs="宋体" w:asciiTheme="minorEastAsia" w:hAnsiTheme="minorEastAsia" w:eastAsiaTheme="minorEastAsia"/>
          <w:szCs w:val="24"/>
        </w:rPr>
      </w:pPr>
    </w:p>
    <w:p>
      <w:pPr>
        <w:widowControl w:val="0"/>
        <w:spacing w:after="0" w:line="360" w:lineRule="auto"/>
        <w:ind w:left="0" w:firstLine="472" w:firstLineChars="200"/>
        <w:jc w:val="both"/>
        <w:rPr>
          <w:rFonts w:cs="宋体" w:asciiTheme="minorEastAsia" w:hAnsiTheme="minorEastAsia" w:eastAsiaTheme="minorEastAsia"/>
          <w:szCs w:val="24"/>
        </w:rPr>
      </w:pPr>
    </w:p>
    <w:p>
      <w:pPr>
        <w:widowControl w:val="0"/>
        <w:spacing w:after="0" w:line="360" w:lineRule="auto"/>
        <w:ind w:left="0" w:firstLine="472" w:firstLineChars="200"/>
        <w:jc w:val="both"/>
        <w:rPr>
          <w:rFonts w:cs="宋体" w:asciiTheme="minorEastAsia" w:hAnsiTheme="minorEastAsia" w:eastAsiaTheme="minorEastAsia"/>
          <w:szCs w:val="24"/>
        </w:rPr>
      </w:pPr>
    </w:p>
    <w:p>
      <w:pPr>
        <w:widowControl w:val="0"/>
        <w:spacing w:after="0" w:line="360" w:lineRule="auto"/>
        <w:ind w:left="0" w:firstLine="472" w:firstLineChars="200"/>
        <w:jc w:val="both"/>
        <w:rPr>
          <w:rFonts w:cs="宋体" w:asciiTheme="minorEastAsia" w:hAnsiTheme="minorEastAsia" w:eastAsiaTheme="minorEastAsia"/>
          <w:szCs w:val="24"/>
        </w:rPr>
      </w:pPr>
    </w:p>
    <w:p>
      <w:pPr>
        <w:widowControl w:val="0"/>
        <w:spacing w:after="0" w:line="360" w:lineRule="auto"/>
        <w:ind w:left="0" w:firstLine="472" w:firstLineChars="200"/>
        <w:jc w:val="both"/>
        <w:rPr>
          <w:rFonts w:cs="宋体" w:asciiTheme="minorEastAsia" w:hAnsiTheme="minorEastAsia" w:eastAsiaTheme="minorEastAsia"/>
          <w:szCs w:val="24"/>
        </w:rPr>
      </w:pPr>
    </w:p>
    <w:p>
      <w:pPr>
        <w:widowControl w:val="0"/>
        <w:spacing w:after="0" w:line="360" w:lineRule="auto"/>
        <w:ind w:left="0" w:firstLine="472" w:firstLineChars="200"/>
        <w:jc w:val="both"/>
        <w:rPr>
          <w:rFonts w:cs="宋体" w:asciiTheme="minorEastAsia" w:hAnsiTheme="minorEastAsia" w:eastAsiaTheme="minorEastAsia"/>
          <w:szCs w:val="24"/>
        </w:rPr>
      </w:pPr>
    </w:p>
    <w:p>
      <w:pPr>
        <w:widowControl w:val="0"/>
        <w:spacing w:after="0" w:line="360" w:lineRule="auto"/>
        <w:ind w:left="0" w:firstLine="472" w:firstLineChars="200"/>
        <w:jc w:val="both"/>
        <w:rPr>
          <w:rFonts w:cs="宋体" w:asciiTheme="minorEastAsia" w:hAnsiTheme="minorEastAsia" w:eastAsiaTheme="minorEastAsia"/>
          <w:szCs w:val="24"/>
        </w:rPr>
      </w:pPr>
    </w:p>
    <w:p>
      <w:pPr>
        <w:widowControl w:val="0"/>
        <w:spacing w:after="0" w:line="360" w:lineRule="auto"/>
        <w:ind w:left="0" w:firstLine="472" w:firstLineChars="200"/>
        <w:jc w:val="both"/>
        <w:rPr>
          <w:rFonts w:cs="宋体" w:asciiTheme="minorEastAsia" w:hAnsiTheme="minorEastAsia" w:eastAsiaTheme="minorEastAsia"/>
          <w:szCs w:val="24"/>
        </w:rPr>
      </w:pPr>
    </w:p>
    <w:tbl>
      <w:tblPr>
        <w:tblStyle w:val="30"/>
        <w:tblpPr w:leftFromText="180" w:rightFromText="180" w:vertAnchor="text" w:horzAnchor="margin" w:tblpXSpec="center" w:tblpY="47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风险点名称</w:t>
            </w:r>
          </w:p>
        </w:tc>
        <w:tc>
          <w:tcPr>
            <w:tcW w:w="4147" w:type="dxa"/>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配电室</w:t>
            </w:r>
          </w:p>
        </w:tc>
        <w:tc>
          <w:tcPr>
            <w:tcW w:w="1800" w:type="dxa"/>
            <w:vMerge w:val="restart"/>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致险因素描述</w:t>
            </w:r>
          </w:p>
        </w:tc>
        <w:tc>
          <w:tcPr>
            <w:tcW w:w="5966" w:type="dxa"/>
            <w:vMerge w:val="restart"/>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1.作业人员未持证上岗；</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2.停复电或检维修作业未遵守安全操作规程；</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3.检修工具及劳动防护用品有缺陷；</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4.安全防护设施有缺陷；</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5.多人协调作业配合不当。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风险等级</w:t>
            </w:r>
          </w:p>
        </w:tc>
        <w:tc>
          <w:tcPr>
            <w:tcW w:w="4147" w:type="dxa"/>
            <w:shd w:val="clear" w:color="auto" w:fill="FAE600"/>
            <w:vAlign w:val="center"/>
          </w:tcPr>
          <w:p>
            <w:pPr>
              <w:spacing w:after="0" w:line="240" w:lineRule="auto"/>
              <w:jc w:val="center"/>
              <w:rPr>
                <w:rFonts w:ascii="宋体" w:hAnsi="宋体" w:eastAsia="宋体"/>
                <w:b/>
              </w:rPr>
            </w:pPr>
            <w:r>
              <w:rPr>
                <w:rFonts w:ascii="宋体" w:hAnsi="宋体" w:eastAsia="宋体"/>
                <w:b/>
              </w:rPr>
              <w:t>一般风险</w:t>
            </w:r>
          </w:p>
        </w:tc>
        <w:tc>
          <w:tcPr>
            <w:tcW w:w="1800" w:type="dxa"/>
            <w:vMerge w:val="continue"/>
            <w:shd w:val="clear" w:color="auto" w:fill="auto"/>
            <w:vAlign w:val="center"/>
          </w:tcPr>
          <w:p>
            <w:pPr>
              <w:spacing w:line="240" w:lineRule="auto"/>
              <w:jc w:val="center"/>
              <w:rPr>
                <w:rFonts w:ascii="宋体" w:hAnsi="宋体" w:eastAsia="宋体"/>
                <w:b/>
              </w:rPr>
            </w:pPr>
          </w:p>
        </w:tc>
        <w:tc>
          <w:tcPr>
            <w:tcW w:w="5966" w:type="dxa"/>
            <w:vMerge w:val="continue"/>
            <w:shd w:val="clear" w:color="auto" w:fill="auto"/>
            <w:vAlign w:val="center"/>
          </w:tcPr>
          <w:p>
            <w:pPr>
              <w:spacing w:after="0" w:line="360" w:lineRule="exact"/>
              <w:rPr>
                <w:rFonts w:ascii="宋体" w:hAnsi="宋体" w:eastAsia="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事故类型</w:t>
            </w:r>
          </w:p>
        </w:tc>
        <w:tc>
          <w:tcPr>
            <w:tcW w:w="4147" w:type="dxa"/>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触电 火灾</w:t>
            </w:r>
          </w:p>
        </w:tc>
        <w:tc>
          <w:tcPr>
            <w:tcW w:w="1800" w:type="dxa"/>
            <w:vMerge w:val="continue"/>
            <w:shd w:val="clear" w:color="auto" w:fill="auto"/>
            <w:vAlign w:val="center"/>
          </w:tcPr>
          <w:p>
            <w:pPr>
              <w:spacing w:line="240" w:lineRule="auto"/>
              <w:jc w:val="center"/>
              <w:rPr>
                <w:rFonts w:ascii="宋体" w:hAnsi="宋体" w:eastAsia="宋体"/>
                <w:b/>
              </w:rPr>
            </w:pPr>
          </w:p>
        </w:tc>
        <w:tc>
          <w:tcPr>
            <w:tcW w:w="5966" w:type="dxa"/>
            <w:vMerge w:val="continue"/>
            <w:shd w:val="clear" w:color="auto" w:fill="auto"/>
            <w:vAlign w:val="center"/>
          </w:tcPr>
          <w:p>
            <w:pPr>
              <w:spacing w:after="0" w:line="360" w:lineRule="exact"/>
              <w:rPr>
                <w:rFonts w:ascii="宋体" w:hAnsi="宋体" w:eastAsia="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6" w:hRule="atLeast"/>
        </w:trPr>
        <w:tc>
          <w:tcPr>
            <w:tcW w:w="6754" w:type="dxa"/>
            <w:gridSpan w:val="2"/>
            <w:shd w:val="clear" w:color="auto" w:fill="auto"/>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安全标志</w:t>
            </w:r>
          </w:p>
          <w:p>
            <w:pPr>
              <w:spacing w:after="0" w:line="240" w:lineRule="auto"/>
              <w:rPr>
                <w:rFonts w:ascii="宋体" w:hAnsi="宋体" w:eastAsia="宋体"/>
                <w:b/>
              </w:rPr>
            </w:pPr>
            <w:r>
              <w:rPr>
                <w:rFonts w:ascii="宋体" w:hAnsi="宋体" w:eastAsia="宋体"/>
              </w:rPr>
              <w:drawing>
                <wp:inline distT="0" distB="0" distL="0" distR="0">
                  <wp:extent cx="925195" cy="1148080"/>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r>
              <w:rPr>
                <w:rFonts w:ascii="宋体" w:hAnsi="宋体" w:eastAsia="宋体"/>
              </w:rPr>
              <w:drawing>
                <wp:inline distT="0" distB="0" distL="0" distR="0">
                  <wp:extent cx="903605" cy="11480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903605" cy="1148080"/>
                          </a:xfrm>
                          <a:prstGeom prst="rect">
                            <a:avLst/>
                          </a:prstGeom>
                          <a:noFill/>
                          <a:ln>
                            <a:noFill/>
                          </a:ln>
                        </pic:spPr>
                      </pic:pic>
                    </a:graphicData>
                  </a:graphic>
                </wp:inline>
              </w:drawing>
            </w:r>
            <w:r>
              <w:rPr>
                <w:rFonts w:ascii="宋体" w:hAnsi="宋体" w:eastAsia="宋体"/>
              </w:rPr>
              <w:drawing>
                <wp:inline distT="0" distB="0" distL="0" distR="0">
                  <wp:extent cx="925195" cy="1148080"/>
                  <wp:effectExtent l="0" t="0" r="825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r>
              <w:rPr>
                <w:rFonts w:ascii="宋体" w:hAnsi="宋体" w:eastAsia="宋体"/>
              </w:rPr>
              <w:drawing>
                <wp:inline distT="0" distB="0" distL="0" distR="0">
                  <wp:extent cx="925195" cy="1148080"/>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p>
        </w:tc>
        <w:tc>
          <w:tcPr>
            <w:tcW w:w="1800" w:type="dxa"/>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风险管控措施</w:t>
            </w:r>
          </w:p>
        </w:tc>
        <w:tc>
          <w:tcPr>
            <w:tcW w:w="5966" w:type="dxa"/>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1.作业人员必须持证上岗；</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2.作业人员须接受岗前安全教育，熟知岗位危险源及防范措施；</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3.检修工具及劳动防护用品应合格且在检验有效期内；</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4.定期检查配电设备及安全防护情况，发现异常时应及时修复；</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5.多人协调作业时应事先制定安全防护措施及指挥人员。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spacing w:line="240" w:lineRule="auto"/>
              <w:jc w:val="center"/>
              <w:rPr>
                <w:rFonts w:ascii="宋体" w:hAnsi="宋体" w:eastAsia="宋体"/>
                <w:b/>
              </w:rPr>
            </w:pPr>
            <w:r>
              <w:rPr>
                <w:rFonts w:hint="eastAsia" w:ascii="宋体" w:hAnsi="宋体" w:eastAsia="宋体"/>
                <w:b/>
              </w:rPr>
              <w:t>责任部门</w:t>
            </w:r>
          </w:p>
        </w:tc>
        <w:tc>
          <w:tcPr>
            <w:tcW w:w="4147" w:type="dxa"/>
            <w:shd w:val="clear" w:color="auto" w:fill="auto"/>
            <w:vAlign w:val="center"/>
          </w:tcPr>
          <w:p>
            <w:pPr>
              <w:spacing w:line="240" w:lineRule="auto"/>
              <w:rPr>
                <w:rFonts w:ascii="宋体" w:hAnsi="宋体" w:eastAsia="宋体"/>
                <w:b/>
              </w:rPr>
            </w:pPr>
          </w:p>
        </w:tc>
        <w:tc>
          <w:tcPr>
            <w:tcW w:w="1800" w:type="dxa"/>
            <w:vMerge w:val="restart"/>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应急处置措施</w:t>
            </w:r>
          </w:p>
        </w:tc>
        <w:tc>
          <w:tcPr>
            <w:tcW w:w="5966" w:type="dxa"/>
            <w:vMerge w:val="restart"/>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1.触电时应迅速切断电源，或者用绝缘物体挑开电线或带电物体，使伤者尽快脱离电源，将伤者移至安全地带；</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2.若触电者失去知觉，应使其平卧，以利呼吸；若触电者呼吸、脉搏停止，必须实施人工呼吸或胸外心脏挤压法抢救；</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3.火灾时，及时疏散至安全地带，按预案进行初期火灾控制。</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4.按预案及信息报告流程向上级报告，拨打120等急救电话。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spacing w:line="240" w:lineRule="auto"/>
              <w:jc w:val="center"/>
              <w:rPr>
                <w:rFonts w:ascii="宋体" w:hAnsi="宋体" w:eastAsia="宋体"/>
                <w:b/>
              </w:rPr>
            </w:pPr>
            <w:r>
              <w:rPr>
                <w:rFonts w:hint="eastAsia" w:ascii="宋体" w:hAnsi="宋体" w:eastAsia="宋体"/>
                <w:b/>
              </w:rPr>
              <w:t>责任人</w:t>
            </w:r>
          </w:p>
        </w:tc>
        <w:tc>
          <w:tcPr>
            <w:tcW w:w="4147" w:type="dxa"/>
            <w:shd w:val="clear" w:color="auto" w:fill="auto"/>
            <w:vAlign w:val="center"/>
          </w:tcPr>
          <w:p>
            <w:pPr>
              <w:spacing w:line="240" w:lineRule="auto"/>
              <w:rPr>
                <w:rFonts w:ascii="宋体" w:hAnsi="宋体" w:eastAsia="宋体"/>
                <w:b/>
              </w:rPr>
            </w:pPr>
          </w:p>
        </w:tc>
        <w:tc>
          <w:tcPr>
            <w:tcW w:w="1800" w:type="dxa"/>
            <w:vMerge w:val="continue"/>
            <w:shd w:val="clear" w:color="auto" w:fill="auto"/>
            <w:vAlign w:val="center"/>
          </w:tcPr>
          <w:p>
            <w:pPr>
              <w:spacing w:line="240" w:lineRule="auto"/>
              <w:jc w:val="center"/>
              <w:rPr>
                <w:rFonts w:ascii="宋体" w:hAnsi="宋体" w:eastAsia="宋体"/>
                <w:b/>
              </w:rPr>
            </w:pPr>
          </w:p>
        </w:tc>
        <w:tc>
          <w:tcPr>
            <w:tcW w:w="5966" w:type="dxa"/>
            <w:vMerge w:val="continue"/>
            <w:shd w:val="clear" w:color="auto" w:fill="auto"/>
            <w:vAlign w:val="center"/>
          </w:tcPr>
          <w:p>
            <w:pPr>
              <w:spacing w:line="240" w:lineRule="auto"/>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spacing w:line="240" w:lineRule="auto"/>
              <w:jc w:val="center"/>
              <w:rPr>
                <w:rFonts w:ascii="宋体" w:hAnsi="宋体" w:eastAsia="宋体"/>
                <w:b/>
              </w:rPr>
            </w:pPr>
            <w:r>
              <w:rPr>
                <w:rFonts w:hint="eastAsia" w:ascii="宋体" w:hAnsi="宋体" w:eastAsia="宋体"/>
                <w:b/>
              </w:rPr>
              <w:t>责任电话</w:t>
            </w:r>
          </w:p>
        </w:tc>
        <w:tc>
          <w:tcPr>
            <w:tcW w:w="4147" w:type="dxa"/>
            <w:shd w:val="clear" w:color="auto" w:fill="auto"/>
            <w:vAlign w:val="center"/>
          </w:tcPr>
          <w:p>
            <w:pPr>
              <w:spacing w:line="240" w:lineRule="auto"/>
              <w:rPr>
                <w:rFonts w:ascii="宋体" w:hAnsi="宋体" w:eastAsia="宋体"/>
                <w:b/>
              </w:rPr>
            </w:pPr>
          </w:p>
        </w:tc>
        <w:tc>
          <w:tcPr>
            <w:tcW w:w="1800" w:type="dxa"/>
            <w:vMerge w:val="continue"/>
            <w:shd w:val="clear" w:color="auto" w:fill="auto"/>
            <w:vAlign w:val="center"/>
          </w:tcPr>
          <w:p>
            <w:pPr>
              <w:spacing w:line="240" w:lineRule="auto"/>
              <w:jc w:val="center"/>
              <w:rPr>
                <w:rFonts w:ascii="宋体" w:hAnsi="宋体" w:eastAsia="宋体"/>
                <w:b/>
              </w:rPr>
            </w:pPr>
          </w:p>
        </w:tc>
        <w:tc>
          <w:tcPr>
            <w:tcW w:w="5966" w:type="dxa"/>
            <w:vMerge w:val="continue"/>
            <w:shd w:val="clear" w:color="auto" w:fill="auto"/>
            <w:vAlign w:val="center"/>
          </w:tcPr>
          <w:p>
            <w:pPr>
              <w:spacing w:line="240" w:lineRule="auto"/>
              <w:rPr>
                <w:rFonts w:ascii="宋体" w:hAnsi="宋体" w:eastAsia="宋体"/>
              </w:rPr>
            </w:pPr>
          </w:p>
        </w:tc>
      </w:tr>
    </w:tbl>
    <w:p>
      <w:pPr>
        <w:widowControl w:val="0"/>
        <w:spacing w:after="0" w:line="480" w:lineRule="exact"/>
        <w:ind w:left="0" w:firstLine="480"/>
        <w:jc w:val="both"/>
        <w:rPr>
          <w:rFonts w:cs="Calibri" w:asciiTheme="minorEastAsia" w:hAnsiTheme="minorEastAsia" w:eastAsiaTheme="minorEastAsia"/>
          <w:szCs w:val="24"/>
        </w:rPr>
      </w:pPr>
    </w:p>
    <w:tbl>
      <w:tblPr>
        <w:tblStyle w:val="30"/>
        <w:tblpPr w:leftFromText="180" w:rightFromText="180" w:vertAnchor="text" w:horzAnchor="margin" w:tblpXSpec="center" w:tblpY="26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3"/>
        <w:gridCol w:w="4528"/>
        <w:gridCol w:w="1846"/>
        <w:gridCol w:w="6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776" w:type="pct"/>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风险点名称</w:t>
            </w:r>
          </w:p>
        </w:tc>
        <w:tc>
          <w:tcPr>
            <w:tcW w:w="1450" w:type="pct"/>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食堂</w:t>
            </w:r>
          </w:p>
        </w:tc>
        <w:tc>
          <w:tcPr>
            <w:tcW w:w="591" w:type="pct"/>
            <w:vMerge w:val="restart"/>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致险因素描述</w:t>
            </w:r>
          </w:p>
        </w:tc>
        <w:tc>
          <w:tcPr>
            <w:tcW w:w="2184" w:type="pct"/>
            <w:vMerge w:val="restart"/>
            <w:shd w:val="clear" w:color="auto" w:fill="auto"/>
            <w:vAlign w:val="center"/>
          </w:tcPr>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1.食材、卫生、生熟条件等部分；</w:t>
            </w:r>
          </w:p>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2.用气、用火管理不善，应急处置程序不当，消防设备配置不完善；</w:t>
            </w:r>
          </w:p>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3.食堂违规使用大功率电器、私拉乱接、电气不防水等；</w:t>
            </w:r>
          </w:p>
          <w:p>
            <w:pPr>
              <w:widowControl w:val="0"/>
              <w:spacing w:after="0" w:line="320" w:lineRule="exact"/>
              <w:ind w:left="0" w:firstLine="0"/>
              <w:rPr>
                <w:rFonts w:ascii="宋体" w:hAnsi="宋体" w:eastAsia="宋体" w:cs="Times New Roman"/>
                <w:b/>
                <w:szCs w:val="24"/>
              </w:rPr>
            </w:pPr>
            <w:r>
              <w:rPr>
                <w:rFonts w:hint="eastAsia" w:ascii="宋体" w:hAnsi="宋体" w:eastAsia="宋体" w:cs="Times New Roman"/>
                <w:b/>
                <w:sz w:val="21"/>
                <w:szCs w:val="21"/>
              </w:rPr>
              <w:t>4.高温蒸煮设备防护及劳动防护用品有缺陷。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776" w:type="pct"/>
            <w:tcBorders>
              <w:bottom w:val="single" w:color="auto" w:sz="4" w:space="0"/>
            </w:tcBorders>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风险等级</w:t>
            </w:r>
          </w:p>
        </w:tc>
        <w:tc>
          <w:tcPr>
            <w:tcW w:w="1450" w:type="pct"/>
            <w:shd w:val="clear" w:color="auto" w:fill="FAE600"/>
            <w:vAlign w:val="center"/>
          </w:tcPr>
          <w:p>
            <w:pPr>
              <w:widowControl w:val="0"/>
              <w:spacing w:after="0" w:line="240" w:lineRule="auto"/>
              <w:ind w:left="0" w:firstLine="0"/>
              <w:jc w:val="center"/>
              <w:rPr>
                <w:rFonts w:ascii="宋体" w:hAnsi="宋体" w:eastAsia="宋体" w:cs="Times New Roman"/>
                <w:b/>
                <w:szCs w:val="24"/>
              </w:rPr>
            </w:pPr>
            <w:r>
              <w:rPr>
                <w:rFonts w:ascii="宋体" w:hAnsi="宋体" w:eastAsia="宋体" w:cs="Times New Roman"/>
                <w:b/>
                <w:szCs w:val="24"/>
              </w:rPr>
              <w:t>一般风险</w:t>
            </w:r>
          </w:p>
        </w:tc>
        <w:tc>
          <w:tcPr>
            <w:tcW w:w="591" w:type="pct"/>
            <w:vMerge w:val="continue"/>
            <w:shd w:val="clear" w:color="auto" w:fill="auto"/>
            <w:vAlign w:val="center"/>
          </w:tcPr>
          <w:p>
            <w:pPr>
              <w:widowControl w:val="0"/>
              <w:spacing w:after="0" w:line="360" w:lineRule="auto"/>
              <w:ind w:left="0" w:firstLine="0"/>
              <w:jc w:val="center"/>
              <w:rPr>
                <w:rFonts w:ascii="宋体" w:hAnsi="宋体" w:eastAsia="宋体" w:cs="Times New Roman"/>
                <w:b/>
                <w:szCs w:val="24"/>
              </w:rPr>
            </w:pPr>
          </w:p>
        </w:tc>
        <w:tc>
          <w:tcPr>
            <w:tcW w:w="2184" w:type="pct"/>
            <w:vMerge w:val="continue"/>
            <w:shd w:val="clear" w:color="auto" w:fill="auto"/>
            <w:vAlign w:val="center"/>
          </w:tcPr>
          <w:p>
            <w:pPr>
              <w:widowControl w:val="0"/>
              <w:spacing w:after="0" w:line="320" w:lineRule="exact"/>
              <w:ind w:left="0" w:firstLine="0"/>
              <w:rPr>
                <w:rFonts w:ascii="宋体" w:hAnsi="宋体" w:eastAsia="宋体"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776" w:type="pct"/>
            <w:tcBorders>
              <w:bottom w:val="single" w:color="auto" w:sz="4" w:space="0"/>
            </w:tcBorders>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事故类型</w:t>
            </w:r>
          </w:p>
        </w:tc>
        <w:tc>
          <w:tcPr>
            <w:tcW w:w="1450" w:type="pct"/>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食物中毒 火灾 触电 灼烫</w:t>
            </w:r>
          </w:p>
        </w:tc>
        <w:tc>
          <w:tcPr>
            <w:tcW w:w="591" w:type="pct"/>
            <w:vMerge w:val="continue"/>
            <w:shd w:val="clear" w:color="auto" w:fill="auto"/>
            <w:vAlign w:val="center"/>
          </w:tcPr>
          <w:p>
            <w:pPr>
              <w:widowControl w:val="0"/>
              <w:spacing w:after="0" w:line="360" w:lineRule="auto"/>
              <w:ind w:left="0" w:firstLine="0"/>
              <w:jc w:val="center"/>
              <w:rPr>
                <w:rFonts w:ascii="宋体" w:hAnsi="宋体" w:eastAsia="宋体" w:cs="Times New Roman"/>
                <w:b/>
                <w:szCs w:val="24"/>
              </w:rPr>
            </w:pPr>
          </w:p>
        </w:tc>
        <w:tc>
          <w:tcPr>
            <w:tcW w:w="2184" w:type="pct"/>
            <w:vMerge w:val="continue"/>
            <w:shd w:val="clear" w:color="auto" w:fill="auto"/>
            <w:vAlign w:val="center"/>
          </w:tcPr>
          <w:p>
            <w:pPr>
              <w:widowControl w:val="0"/>
              <w:spacing w:after="0" w:line="320" w:lineRule="exact"/>
              <w:ind w:left="0" w:firstLine="0"/>
              <w:rPr>
                <w:rFonts w:ascii="宋体" w:hAnsi="宋体" w:eastAsia="宋体"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26" w:type="pct"/>
            <w:gridSpan w:val="2"/>
            <w:tcBorders>
              <w:bottom w:val="single" w:color="auto" w:sz="6" w:space="0"/>
            </w:tcBorders>
            <w:shd w:val="clear" w:color="auto" w:fill="auto"/>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安全标志</w:t>
            </w:r>
          </w:p>
          <w:p>
            <w:pPr>
              <w:widowControl w:val="0"/>
              <w:spacing w:after="0" w:line="360" w:lineRule="auto"/>
              <w:ind w:left="0" w:firstLine="0"/>
              <w:jc w:val="center"/>
              <w:rPr>
                <w:rFonts w:ascii="宋体" w:hAnsi="宋体" w:eastAsia="宋体" w:cs="Times New Roman"/>
                <w:b/>
                <w:szCs w:val="24"/>
              </w:rPr>
            </w:pPr>
            <w:r>
              <w:rPr>
                <w:rFonts w:ascii="宋体" w:hAnsi="宋体" w:eastAsia="宋体" w:cs="Times New Roman"/>
                <w:sz w:val="21"/>
                <w:szCs w:val="24"/>
              </w:rPr>
              <w:drawing>
                <wp:inline distT="0" distB="0" distL="0" distR="0">
                  <wp:extent cx="871855" cy="1084580"/>
                  <wp:effectExtent l="0" t="0" r="4445"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871855" cy="1084580"/>
                          </a:xfrm>
                          <a:prstGeom prst="rect">
                            <a:avLst/>
                          </a:prstGeom>
                          <a:noFill/>
                          <a:ln>
                            <a:noFill/>
                          </a:ln>
                        </pic:spPr>
                      </pic:pic>
                    </a:graphicData>
                  </a:graphic>
                </wp:inline>
              </w:drawing>
            </w:r>
            <w:r>
              <w:rPr>
                <w:rFonts w:ascii="宋体" w:hAnsi="宋体" w:eastAsia="宋体" w:cs="Times New Roman"/>
                <w:sz w:val="21"/>
                <w:szCs w:val="24"/>
              </w:rPr>
              <w:drawing>
                <wp:inline distT="0" distB="0" distL="0" distR="0">
                  <wp:extent cx="882650" cy="1084580"/>
                  <wp:effectExtent l="0" t="0" r="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882650" cy="1084580"/>
                          </a:xfrm>
                          <a:prstGeom prst="rect">
                            <a:avLst/>
                          </a:prstGeom>
                          <a:noFill/>
                          <a:ln>
                            <a:noFill/>
                          </a:ln>
                        </pic:spPr>
                      </pic:pic>
                    </a:graphicData>
                  </a:graphic>
                </wp:inline>
              </w:drawing>
            </w:r>
            <w:r>
              <w:rPr>
                <w:rFonts w:ascii="宋体" w:hAnsi="宋体" w:eastAsia="宋体" w:cs="Times New Roman"/>
                <w:sz w:val="21"/>
                <w:szCs w:val="24"/>
              </w:rPr>
              <w:drawing>
                <wp:inline distT="0" distB="0" distL="0" distR="0">
                  <wp:extent cx="882650" cy="1084580"/>
                  <wp:effectExtent l="0" t="0" r="0" b="12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882650" cy="1084580"/>
                          </a:xfrm>
                          <a:prstGeom prst="rect">
                            <a:avLst/>
                          </a:prstGeom>
                          <a:noFill/>
                          <a:ln>
                            <a:noFill/>
                          </a:ln>
                        </pic:spPr>
                      </pic:pic>
                    </a:graphicData>
                  </a:graphic>
                </wp:inline>
              </w:drawing>
            </w:r>
            <w:r>
              <w:rPr>
                <w:rFonts w:ascii="宋体" w:hAnsi="宋体" w:eastAsia="宋体" w:cs="Times New Roman"/>
                <w:sz w:val="21"/>
                <w:szCs w:val="24"/>
              </w:rPr>
              <w:drawing>
                <wp:inline distT="0" distB="0" distL="0" distR="0">
                  <wp:extent cx="871855" cy="1084580"/>
                  <wp:effectExtent l="0" t="0" r="4445"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871855" cy="1084580"/>
                          </a:xfrm>
                          <a:prstGeom prst="rect">
                            <a:avLst/>
                          </a:prstGeom>
                          <a:noFill/>
                          <a:ln>
                            <a:noFill/>
                          </a:ln>
                        </pic:spPr>
                      </pic:pic>
                    </a:graphicData>
                  </a:graphic>
                </wp:inline>
              </w:drawing>
            </w:r>
          </w:p>
        </w:tc>
        <w:tc>
          <w:tcPr>
            <w:tcW w:w="591" w:type="pct"/>
            <w:tcBorders>
              <w:bottom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风险管控措施</w:t>
            </w:r>
          </w:p>
        </w:tc>
        <w:tc>
          <w:tcPr>
            <w:tcW w:w="2184" w:type="pct"/>
            <w:tcBorders>
              <w:bottom w:val="single" w:color="auto" w:sz="4" w:space="0"/>
            </w:tcBorders>
            <w:shd w:val="clear" w:color="auto" w:fill="auto"/>
            <w:vAlign w:val="center"/>
          </w:tcPr>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1.食材应选择正规渠道、保持食堂卫生、食堂作业人员必须持证上岗，遵守岗位操作规程；</w:t>
            </w:r>
          </w:p>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2.作业人员须接受岗前消防、用电等安全教育，熟知岗位危险源及防范措施；</w:t>
            </w:r>
          </w:p>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3. 加强食堂日常食品卫生、消防、用电等检查管理；</w:t>
            </w:r>
          </w:p>
          <w:p>
            <w:pPr>
              <w:widowControl w:val="0"/>
              <w:spacing w:after="0" w:line="320" w:lineRule="exact"/>
              <w:ind w:left="0" w:firstLine="0"/>
              <w:rPr>
                <w:rFonts w:ascii="宋体" w:hAnsi="宋体" w:eastAsia="宋体" w:cs="Times New Roman"/>
                <w:b/>
                <w:szCs w:val="24"/>
              </w:rPr>
            </w:pPr>
            <w:r>
              <w:rPr>
                <w:rFonts w:hint="eastAsia" w:ascii="宋体" w:hAnsi="宋体" w:eastAsia="宋体" w:cs="Times New Roman"/>
                <w:b/>
                <w:sz w:val="21"/>
                <w:szCs w:val="21"/>
              </w:rPr>
              <w:t>4.高温蒸煮设备防护及劳动防护用品应合格有效。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776" w:type="pct"/>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责任部门</w:t>
            </w:r>
          </w:p>
        </w:tc>
        <w:tc>
          <w:tcPr>
            <w:tcW w:w="1450" w:type="pct"/>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szCs w:val="24"/>
              </w:rPr>
            </w:pPr>
          </w:p>
        </w:tc>
        <w:tc>
          <w:tcPr>
            <w:tcW w:w="591" w:type="pct"/>
            <w:vMerge w:val="restart"/>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应急处置措施</w:t>
            </w:r>
          </w:p>
        </w:tc>
        <w:tc>
          <w:tcPr>
            <w:tcW w:w="2184" w:type="pct"/>
            <w:vMerge w:val="restart"/>
            <w:tcBorders>
              <w:top w:val="single" w:color="auto" w:sz="6" w:space="0"/>
            </w:tcBorders>
            <w:shd w:val="clear" w:color="auto" w:fill="auto"/>
            <w:vAlign w:val="center"/>
          </w:tcPr>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1.食物中毒时应立即停止进食，及时采取催吐等施救方式；</w:t>
            </w:r>
          </w:p>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2.触电时应</w:t>
            </w:r>
            <w:r>
              <w:rPr>
                <w:rFonts w:ascii="宋体" w:hAnsi="宋体" w:eastAsia="宋体" w:cs="Times New Roman"/>
                <w:b/>
                <w:sz w:val="21"/>
                <w:szCs w:val="21"/>
              </w:rPr>
              <w:t>迅速切断电源，用绝缘物体使伤者尽快脱离电源</w:t>
            </w:r>
            <w:r>
              <w:rPr>
                <w:rFonts w:hint="eastAsia" w:ascii="宋体" w:hAnsi="宋体" w:eastAsia="宋体" w:cs="Times New Roman"/>
                <w:b/>
                <w:sz w:val="21"/>
                <w:szCs w:val="21"/>
              </w:rPr>
              <w:t>，</w:t>
            </w:r>
            <w:r>
              <w:rPr>
                <w:rFonts w:ascii="宋体" w:hAnsi="宋体" w:eastAsia="宋体" w:cs="Times New Roman"/>
                <w:b/>
                <w:sz w:val="21"/>
                <w:szCs w:val="21"/>
              </w:rPr>
              <w:t>使其平卧，</w:t>
            </w:r>
            <w:r>
              <w:rPr>
                <w:rFonts w:hint="eastAsia" w:ascii="宋体" w:hAnsi="宋体" w:eastAsia="宋体" w:cs="Times New Roman"/>
                <w:b/>
                <w:sz w:val="21"/>
                <w:szCs w:val="21"/>
              </w:rPr>
              <w:t>必要时</w:t>
            </w:r>
            <w:r>
              <w:rPr>
                <w:rFonts w:ascii="宋体" w:hAnsi="宋体" w:eastAsia="宋体" w:cs="Times New Roman"/>
                <w:b/>
                <w:sz w:val="21"/>
                <w:szCs w:val="21"/>
              </w:rPr>
              <w:t>实施人工呼吸或胸外心脏挤压法抢救；</w:t>
            </w:r>
          </w:p>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3.火灾时按预案进行初期火灾控制，并及时将就餐人员疏散；</w:t>
            </w:r>
          </w:p>
          <w:p>
            <w:pPr>
              <w:widowControl w:val="0"/>
              <w:spacing w:after="0" w:line="320" w:lineRule="exact"/>
              <w:ind w:left="0" w:firstLine="0"/>
              <w:rPr>
                <w:rFonts w:ascii="宋体" w:hAnsi="宋体" w:eastAsia="宋体" w:cs="Times New Roman"/>
                <w:b/>
                <w:sz w:val="21"/>
                <w:szCs w:val="21"/>
              </w:rPr>
            </w:pPr>
            <w:r>
              <w:rPr>
                <w:rFonts w:hint="eastAsia" w:ascii="宋体" w:hAnsi="宋体" w:eastAsia="宋体" w:cs="Times New Roman"/>
                <w:b/>
                <w:sz w:val="21"/>
                <w:szCs w:val="21"/>
              </w:rPr>
              <w:t>4. 按预案及信息报告流程</w:t>
            </w:r>
            <w:r>
              <w:rPr>
                <w:rFonts w:ascii="宋体" w:hAnsi="宋体" w:eastAsia="宋体" w:cs="Times New Roman"/>
                <w:b/>
                <w:sz w:val="21"/>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776" w:type="pct"/>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责任人</w:t>
            </w:r>
          </w:p>
        </w:tc>
        <w:tc>
          <w:tcPr>
            <w:tcW w:w="1450" w:type="pct"/>
            <w:shd w:val="clear" w:color="auto" w:fill="auto"/>
            <w:vAlign w:val="center"/>
          </w:tcPr>
          <w:p>
            <w:pPr>
              <w:widowControl w:val="0"/>
              <w:spacing w:after="0" w:line="360" w:lineRule="auto"/>
              <w:ind w:left="0" w:firstLine="0"/>
              <w:rPr>
                <w:rFonts w:ascii="宋体" w:hAnsi="宋体" w:eastAsia="宋体" w:cs="Times New Roman"/>
                <w:b/>
                <w:szCs w:val="24"/>
              </w:rPr>
            </w:pPr>
          </w:p>
        </w:tc>
        <w:tc>
          <w:tcPr>
            <w:tcW w:w="591" w:type="pct"/>
            <w:vMerge w:val="continue"/>
            <w:shd w:val="clear" w:color="auto" w:fill="auto"/>
            <w:vAlign w:val="center"/>
          </w:tcPr>
          <w:p>
            <w:pPr>
              <w:widowControl w:val="0"/>
              <w:spacing w:after="0" w:line="360" w:lineRule="auto"/>
              <w:ind w:left="0" w:firstLine="0"/>
              <w:jc w:val="center"/>
              <w:rPr>
                <w:rFonts w:ascii="宋体" w:hAnsi="宋体" w:eastAsia="宋体" w:cs="Times New Roman"/>
                <w:b/>
                <w:szCs w:val="24"/>
              </w:rPr>
            </w:pPr>
          </w:p>
        </w:tc>
        <w:tc>
          <w:tcPr>
            <w:tcW w:w="2184" w:type="pct"/>
            <w:vMerge w:val="continue"/>
            <w:shd w:val="clear" w:color="auto" w:fill="auto"/>
            <w:vAlign w:val="center"/>
          </w:tcPr>
          <w:p>
            <w:pPr>
              <w:widowControl w:val="0"/>
              <w:spacing w:after="0" w:line="360" w:lineRule="auto"/>
              <w:ind w:left="0" w:firstLine="0"/>
              <w:rPr>
                <w:rFonts w:ascii="宋体" w:hAnsi="宋体" w:eastAsia="宋体"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776" w:type="pct"/>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责任电话</w:t>
            </w:r>
          </w:p>
        </w:tc>
        <w:tc>
          <w:tcPr>
            <w:tcW w:w="1450" w:type="pct"/>
            <w:shd w:val="clear" w:color="auto" w:fill="auto"/>
            <w:vAlign w:val="center"/>
          </w:tcPr>
          <w:p>
            <w:pPr>
              <w:widowControl w:val="0"/>
              <w:spacing w:after="0" w:line="360" w:lineRule="auto"/>
              <w:ind w:left="0" w:firstLine="0"/>
              <w:rPr>
                <w:rFonts w:ascii="宋体" w:hAnsi="宋体" w:eastAsia="宋体" w:cs="Times New Roman"/>
                <w:b/>
                <w:szCs w:val="24"/>
              </w:rPr>
            </w:pPr>
          </w:p>
        </w:tc>
        <w:tc>
          <w:tcPr>
            <w:tcW w:w="591" w:type="pct"/>
            <w:vMerge w:val="continue"/>
            <w:shd w:val="clear" w:color="auto" w:fill="auto"/>
            <w:vAlign w:val="center"/>
          </w:tcPr>
          <w:p>
            <w:pPr>
              <w:widowControl w:val="0"/>
              <w:spacing w:after="0" w:line="360" w:lineRule="auto"/>
              <w:ind w:left="0" w:firstLine="0"/>
              <w:jc w:val="center"/>
              <w:rPr>
                <w:rFonts w:ascii="宋体" w:hAnsi="宋体" w:eastAsia="宋体" w:cs="Times New Roman"/>
                <w:b/>
                <w:szCs w:val="24"/>
              </w:rPr>
            </w:pPr>
          </w:p>
        </w:tc>
        <w:tc>
          <w:tcPr>
            <w:tcW w:w="2184" w:type="pct"/>
            <w:vMerge w:val="continue"/>
            <w:shd w:val="clear" w:color="auto" w:fill="auto"/>
            <w:vAlign w:val="center"/>
          </w:tcPr>
          <w:p>
            <w:pPr>
              <w:widowControl w:val="0"/>
              <w:spacing w:after="0" w:line="360" w:lineRule="auto"/>
              <w:ind w:left="0" w:firstLine="0"/>
              <w:rPr>
                <w:rFonts w:ascii="宋体" w:hAnsi="宋体" w:eastAsia="宋体" w:cs="Times New Roman"/>
                <w:szCs w:val="24"/>
              </w:rPr>
            </w:pPr>
          </w:p>
        </w:tc>
      </w:tr>
    </w:tbl>
    <w:p>
      <w:pPr>
        <w:widowControl w:val="0"/>
        <w:spacing w:after="0" w:line="480" w:lineRule="exact"/>
        <w:ind w:left="0" w:firstLine="480"/>
        <w:jc w:val="both"/>
        <w:rPr>
          <w:rFonts w:cs="Calibri" w:asciiTheme="minorEastAsia" w:hAnsiTheme="minorEastAsia" w:eastAsiaTheme="minorEastAsia"/>
          <w:szCs w:val="24"/>
        </w:rPr>
      </w:pPr>
    </w:p>
    <w:p>
      <w:pPr>
        <w:widowControl w:val="0"/>
        <w:spacing w:after="0" w:line="480" w:lineRule="exact"/>
        <w:ind w:left="0" w:firstLine="480"/>
        <w:jc w:val="both"/>
        <w:rPr>
          <w:rFonts w:cs="Calibri" w:asciiTheme="minorEastAsia" w:hAnsiTheme="minorEastAsia" w:eastAsiaTheme="minorEastAsia"/>
          <w:szCs w:val="24"/>
        </w:rPr>
      </w:pPr>
    </w:p>
    <w:p>
      <w:pPr>
        <w:widowControl w:val="0"/>
        <w:spacing w:after="0" w:line="480" w:lineRule="exact"/>
        <w:ind w:left="0" w:firstLine="480"/>
        <w:jc w:val="both"/>
        <w:rPr>
          <w:rFonts w:cs="Calibri" w:asciiTheme="minorEastAsia" w:hAnsiTheme="minorEastAsia" w:eastAsiaTheme="minorEastAsia"/>
          <w:szCs w:val="24"/>
        </w:rPr>
      </w:pPr>
    </w:p>
    <w:tbl>
      <w:tblPr>
        <w:tblStyle w:val="30"/>
        <w:tblpPr w:leftFromText="180" w:rightFromText="180" w:vertAnchor="text" w:horzAnchor="margin" w:tblpXSpec="center" w:tblpY="1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2711"/>
        <w:gridCol w:w="4425"/>
        <w:gridCol w:w="1921"/>
        <w:gridCol w:w="6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9"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风险点名称</w:t>
            </w:r>
          </w:p>
        </w:tc>
        <w:tc>
          <w:tcPr>
            <w:tcW w:w="1417" w:type="pct"/>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发电机房</w:t>
            </w:r>
          </w:p>
        </w:tc>
        <w:tc>
          <w:tcPr>
            <w:tcW w:w="615" w:type="pct"/>
            <w:vMerge w:val="restart"/>
            <w:shd w:val="clear" w:color="auto" w:fill="FFFFFF" w:themeFill="background1"/>
            <w:vAlign w:val="center"/>
          </w:tcPr>
          <w:p>
            <w:pPr>
              <w:widowControl w:val="0"/>
              <w:spacing w:after="0" w:line="320" w:lineRule="exact"/>
              <w:ind w:left="0" w:firstLine="0"/>
              <w:jc w:val="center"/>
              <w:rPr>
                <w:rFonts w:ascii="宋体" w:hAnsi="宋体" w:eastAsia="宋体" w:cs="Times New Roman"/>
                <w:b/>
                <w:szCs w:val="24"/>
              </w:rPr>
            </w:pPr>
            <w:r>
              <w:rPr>
                <w:rFonts w:hint="eastAsia" w:ascii="宋体" w:hAnsi="宋体" w:eastAsia="宋体" w:cs="Times New Roman"/>
                <w:b/>
                <w:szCs w:val="24"/>
              </w:rPr>
              <w:t>致险因素描述</w:t>
            </w:r>
          </w:p>
        </w:tc>
        <w:tc>
          <w:tcPr>
            <w:tcW w:w="2101" w:type="pct"/>
            <w:vMerge w:val="restart"/>
            <w:shd w:val="clear" w:color="auto" w:fill="FFFFFF" w:themeFill="background1"/>
            <w:vAlign w:val="center"/>
          </w:tcPr>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1.油品泄漏，机房通风不良，发电机排烟设施；</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2.启机或检维修作业未遵守安全操作规程；</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3.检修工具及劳动防护用品有缺陷；</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4.室内动火、吸烟等火源控制不严，消防设施设置不当；</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5.发电机安全防护设施有缺陷。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9"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风险等级</w:t>
            </w:r>
          </w:p>
        </w:tc>
        <w:tc>
          <w:tcPr>
            <w:tcW w:w="1417" w:type="pct"/>
            <w:shd w:val="clear" w:color="auto" w:fill="FAE600"/>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一般风险</w:t>
            </w:r>
          </w:p>
        </w:tc>
        <w:tc>
          <w:tcPr>
            <w:tcW w:w="615" w:type="pct"/>
            <w:vMerge w:val="continue"/>
            <w:shd w:val="clear" w:color="auto" w:fill="FFFFFF" w:themeFill="background1"/>
            <w:vAlign w:val="center"/>
          </w:tcPr>
          <w:p>
            <w:pPr>
              <w:spacing w:after="0" w:line="320" w:lineRule="exact"/>
              <w:ind w:left="0" w:firstLine="0"/>
              <w:rPr>
                <w:rFonts w:ascii="宋体" w:hAnsi="宋体" w:eastAsia="宋体" w:cs="Times New Roman"/>
                <w:b/>
                <w:szCs w:val="24"/>
              </w:rPr>
            </w:pPr>
          </w:p>
        </w:tc>
        <w:tc>
          <w:tcPr>
            <w:tcW w:w="2101" w:type="pct"/>
            <w:vMerge w:val="continue"/>
            <w:shd w:val="clear" w:color="auto" w:fill="FFFFFF" w:themeFill="background1"/>
            <w:vAlign w:val="center"/>
          </w:tcPr>
          <w:p>
            <w:pPr>
              <w:spacing w:after="0" w:line="320" w:lineRule="exact"/>
              <w:ind w:left="0" w:firstLine="0"/>
              <w:rPr>
                <w:rFonts w:ascii="宋体" w:hAnsi="宋体" w:eastAsia="宋体" w:cs="Times New Roman"/>
                <w:b/>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5"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事故类型</w:t>
            </w:r>
          </w:p>
        </w:tc>
        <w:tc>
          <w:tcPr>
            <w:tcW w:w="1417" w:type="pct"/>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触电 火灾 中毒</w:t>
            </w:r>
          </w:p>
        </w:tc>
        <w:tc>
          <w:tcPr>
            <w:tcW w:w="615" w:type="pct"/>
            <w:vMerge w:val="continue"/>
            <w:shd w:val="clear" w:color="auto" w:fill="FFFFFF" w:themeFill="background1"/>
            <w:vAlign w:val="center"/>
          </w:tcPr>
          <w:p>
            <w:pPr>
              <w:spacing w:after="0" w:line="320" w:lineRule="exact"/>
              <w:ind w:left="0" w:firstLine="0"/>
              <w:rPr>
                <w:rFonts w:ascii="宋体" w:hAnsi="宋体" w:eastAsia="宋体" w:cs="Times New Roman"/>
                <w:b/>
                <w:szCs w:val="24"/>
              </w:rPr>
            </w:pPr>
          </w:p>
        </w:tc>
        <w:tc>
          <w:tcPr>
            <w:tcW w:w="2101" w:type="pct"/>
            <w:vMerge w:val="continue"/>
            <w:shd w:val="clear" w:color="auto" w:fill="FFFFFF" w:themeFill="background1"/>
            <w:vAlign w:val="center"/>
          </w:tcPr>
          <w:p>
            <w:pPr>
              <w:spacing w:after="0" w:line="320" w:lineRule="exact"/>
              <w:ind w:left="0" w:firstLine="0"/>
              <w:rPr>
                <w:rFonts w:ascii="宋体" w:hAnsi="宋体" w:eastAsia="宋体" w:cs="Times New Roman"/>
                <w:b/>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817" w:hRule="atLeast"/>
        </w:trPr>
        <w:tc>
          <w:tcPr>
            <w:tcW w:w="2284" w:type="pct"/>
            <w:gridSpan w:val="2"/>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安全标志</w:t>
            </w:r>
          </w:p>
          <w:p>
            <w:pPr>
              <w:spacing w:after="0" w:line="240" w:lineRule="auto"/>
              <w:ind w:left="0"/>
              <w:jc w:val="center"/>
              <w:rPr>
                <w:rFonts w:ascii="宋体" w:hAnsi="宋体" w:eastAsia="宋体" w:cs="Times New Roman"/>
                <w:b/>
                <w:szCs w:val="24"/>
              </w:rPr>
            </w:pPr>
            <w:r>
              <w:rPr>
                <w:rFonts w:ascii="宋体" w:hAnsi="宋体" w:eastAsia="宋体" w:cs="Times New Roman"/>
                <w:b/>
                <w:szCs w:val="24"/>
              </w:rPr>
              <w:drawing>
                <wp:inline distT="0" distB="0" distL="0" distR="0">
                  <wp:extent cx="922655" cy="1153160"/>
                  <wp:effectExtent l="0" t="0" r="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922655" cy="1153160"/>
                          </a:xfrm>
                          <a:prstGeom prst="rect">
                            <a:avLst/>
                          </a:prstGeom>
                          <a:noFill/>
                          <a:ln>
                            <a:noFill/>
                          </a:ln>
                        </pic:spPr>
                      </pic:pic>
                    </a:graphicData>
                  </a:graphic>
                </wp:inline>
              </w:drawing>
            </w:r>
            <w:r>
              <w:rPr>
                <w:rFonts w:ascii="宋体" w:hAnsi="宋体" w:eastAsia="宋体" w:cs="Times New Roman"/>
                <w:b/>
                <w:szCs w:val="24"/>
              </w:rPr>
              <w:drawing>
                <wp:inline distT="0" distB="0" distL="0" distR="0">
                  <wp:extent cx="938530" cy="1153160"/>
                  <wp:effectExtent l="0" t="0" r="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938530" cy="1153160"/>
                          </a:xfrm>
                          <a:prstGeom prst="rect">
                            <a:avLst/>
                          </a:prstGeom>
                          <a:noFill/>
                          <a:ln>
                            <a:noFill/>
                          </a:ln>
                        </pic:spPr>
                      </pic:pic>
                    </a:graphicData>
                  </a:graphic>
                </wp:inline>
              </w:drawing>
            </w:r>
            <w:r>
              <w:rPr>
                <w:rFonts w:ascii="宋体" w:hAnsi="宋体" w:eastAsia="宋体" w:cs="Times New Roman"/>
                <w:b/>
                <w:szCs w:val="24"/>
              </w:rPr>
              <w:drawing>
                <wp:inline distT="0" distB="0" distL="0" distR="0">
                  <wp:extent cx="898525" cy="1153160"/>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898525" cy="1153160"/>
                          </a:xfrm>
                          <a:prstGeom prst="rect">
                            <a:avLst/>
                          </a:prstGeom>
                          <a:noFill/>
                          <a:ln>
                            <a:noFill/>
                          </a:ln>
                        </pic:spPr>
                      </pic:pic>
                    </a:graphicData>
                  </a:graphic>
                </wp:inline>
              </w:drawing>
            </w:r>
            <w:r>
              <w:rPr>
                <w:rFonts w:ascii="宋体" w:hAnsi="宋体" w:eastAsia="宋体" w:cs="Times New Roman"/>
                <w:b/>
                <w:szCs w:val="24"/>
              </w:rPr>
              <w:drawing>
                <wp:inline distT="0" distB="0" distL="0" distR="0">
                  <wp:extent cx="914400" cy="115316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914400" cy="1153160"/>
                          </a:xfrm>
                          <a:prstGeom prst="rect">
                            <a:avLst/>
                          </a:prstGeom>
                          <a:noFill/>
                          <a:ln>
                            <a:noFill/>
                          </a:ln>
                        </pic:spPr>
                      </pic:pic>
                    </a:graphicData>
                  </a:graphic>
                </wp:inline>
              </w:drawing>
            </w:r>
          </w:p>
        </w:tc>
        <w:tc>
          <w:tcPr>
            <w:tcW w:w="615" w:type="pct"/>
            <w:shd w:val="clear" w:color="auto" w:fill="FFFFFF" w:themeFill="background1"/>
            <w:vAlign w:val="center"/>
          </w:tcPr>
          <w:p>
            <w:pPr>
              <w:widowControl w:val="0"/>
              <w:spacing w:after="0" w:line="320" w:lineRule="exact"/>
              <w:ind w:left="0" w:firstLine="0"/>
              <w:jc w:val="center"/>
              <w:rPr>
                <w:rFonts w:ascii="宋体" w:hAnsi="宋体" w:eastAsia="宋体" w:cs="Times New Roman"/>
                <w:b/>
                <w:szCs w:val="24"/>
              </w:rPr>
            </w:pPr>
            <w:r>
              <w:rPr>
                <w:rFonts w:hint="eastAsia" w:ascii="宋体" w:hAnsi="宋体" w:eastAsia="宋体" w:cs="Times New Roman"/>
                <w:b/>
                <w:szCs w:val="24"/>
              </w:rPr>
              <w:t>风险管控措施</w:t>
            </w:r>
          </w:p>
        </w:tc>
        <w:tc>
          <w:tcPr>
            <w:tcW w:w="2101" w:type="pct"/>
            <w:shd w:val="clear" w:color="auto" w:fill="FFFFFF" w:themeFill="background1"/>
            <w:vAlign w:val="center"/>
          </w:tcPr>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1.油箱防外溢设施良好，发电机设备状态良好，无跑冒滴漏；</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2.作业人员须接受岗前安全教育，熟知岗位危险源及防范措施；</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3.检修工具及劳动防护用品应合格且在检验有效期内；</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4.严格控制室内动火，设置完备良好的消防设施；</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5.设备定期及时检维修、定期试验，确保接地、通风状态良好。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57"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责任部门</w:t>
            </w:r>
          </w:p>
        </w:tc>
        <w:tc>
          <w:tcPr>
            <w:tcW w:w="1417" w:type="pct"/>
            <w:shd w:val="clear" w:color="auto" w:fill="FFFFFF" w:themeFill="background1"/>
            <w:vAlign w:val="center"/>
          </w:tcPr>
          <w:p>
            <w:pPr>
              <w:spacing w:after="0" w:line="240" w:lineRule="auto"/>
              <w:ind w:left="0"/>
              <w:rPr>
                <w:rFonts w:ascii="宋体" w:hAnsi="宋体" w:eastAsia="宋体" w:cs="Times New Roman"/>
                <w:b/>
                <w:szCs w:val="24"/>
              </w:rPr>
            </w:pPr>
          </w:p>
        </w:tc>
        <w:tc>
          <w:tcPr>
            <w:tcW w:w="615" w:type="pct"/>
            <w:vMerge w:val="restart"/>
            <w:shd w:val="clear" w:color="auto" w:fill="FFFFFF" w:themeFill="background1"/>
            <w:vAlign w:val="center"/>
          </w:tcPr>
          <w:p>
            <w:pPr>
              <w:widowControl w:val="0"/>
              <w:spacing w:after="0" w:line="320" w:lineRule="exact"/>
              <w:ind w:left="0" w:firstLine="0"/>
              <w:jc w:val="center"/>
              <w:rPr>
                <w:rFonts w:ascii="宋体" w:hAnsi="宋体" w:eastAsia="宋体" w:cs="Times New Roman"/>
                <w:b/>
                <w:szCs w:val="24"/>
              </w:rPr>
            </w:pPr>
            <w:r>
              <w:rPr>
                <w:rFonts w:hint="eastAsia" w:ascii="宋体" w:hAnsi="宋体" w:eastAsia="宋体" w:cs="Times New Roman"/>
                <w:b/>
                <w:szCs w:val="24"/>
              </w:rPr>
              <w:t>应急处置措施</w:t>
            </w:r>
          </w:p>
        </w:tc>
        <w:tc>
          <w:tcPr>
            <w:tcW w:w="2101" w:type="pct"/>
            <w:vMerge w:val="restart"/>
            <w:shd w:val="clear" w:color="auto" w:fill="FFFFFF" w:themeFill="background1"/>
            <w:vAlign w:val="center"/>
          </w:tcPr>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1.触电时应迅速切断电源，或者用绝缘物体挑开电线或带电物体，使伤者尽快脱离电源；若触电者失去知觉，应使其平卧；若呼吸、脉搏停止，应实施人工呼吸或胸外心脏挤压法抢救；</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2．中毒事故发生时，应先通风再施救，不得盲目施救。</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3.火灾时，及时疏散至安全地带，按预案进行初期火灾控制。</w:t>
            </w:r>
          </w:p>
          <w:p>
            <w:pPr>
              <w:widowControl w:val="0"/>
              <w:spacing w:after="0" w:line="320" w:lineRule="exact"/>
              <w:ind w:left="0" w:firstLine="0"/>
              <w:rPr>
                <w:rFonts w:ascii="宋体" w:hAnsi="宋体" w:eastAsia="宋体" w:cs="Times New Roman"/>
                <w:b/>
                <w:sz w:val="22"/>
                <w:szCs w:val="24"/>
              </w:rPr>
            </w:pPr>
            <w:r>
              <w:rPr>
                <w:rFonts w:hint="eastAsia" w:ascii="宋体" w:hAnsi="宋体" w:eastAsia="宋体" w:cs="Times New Roman"/>
                <w:b/>
                <w:sz w:val="22"/>
                <w:szCs w:val="24"/>
              </w:rPr>
              <w:t>4.按预案及信息报告流程向上级报告，拨打急救电话。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责任人</w:t>
            </w:r>
          </w:p>
        </w:tc>
        <w:tc>
          <w:tcPr>
            <w:tcW w:w="1417" w:type="pct"/>
            <w:shd w:val="clear" w:color="auto" w:fill="FFFFFF" w:themeFill="background1"/>
            <w:vAlign w:val="center"/>
          </w:tcPr>
          <w:p>
            <w:pPr>
              <w:spacing w:after="0" w:line="240" w:lineRule="auto"/>
              <w:ind w:left="0"/>
              <w:rPr>
                <w:rFonts w:ascii="宋体" w:hAnsi="宋体" w:eastAsia="宋体" w:cs="Times New Roman"/>
                <w:b/>
                <w:szCs w:val="24"/>
              </w:rPr>
            </w:pPr>
          </w:p>
        </w:tc>
        <w:tc>
          <w:tcPr>
            <w:tcW w:w="615" w:type="pct"/>
            <w:vMerge w:val="continue"/>
            <w:shd w:val="clear" w:color="auto" w:fill="FFFFFF" w:themeFill="background1"/>
            <w:vAlign w:val="center"/>
          </w:tcPr>
          <w:p>
            <w:pPr>
              <w:spacing w:after="0" w:line="240" w:lineRule="auto"/>
              <w:ind w:left="0" w:firstLine="0"/>
              <w:rPr>
                <w:rFonts w:ascii="宋体" w:hAnsi="宋体" w:eastAsia="宋体" w:cs="Times New Roman"/>
                <w:b/>
                <w:szCs w:val="24"/>
              </w:rPr>
            </w:pPr>
          </w:p>
        </w:tc>
        <w:tc>
          <w:tcPr>
            <w:tcW w:w="2101" w:type="pct"/>
            <w:vMerge w:val="continue"/>
            <w:shd w:val="clear" w:color="auto" w:fill="FFFFFF" w:themeFill="background1"/>
            <w:vAlign w:val="center"/>
          </w:tcPr>
          <w:p>
            <w:pPr>
              <w:spacing w:after="0" w:line="240" w:lineRule="auto"/>
              <w:ind w:left="0" w:firstLine="0"/>
              <w:rPr>
                <w:rFonts w:ascii="宋体" w:hAnsi="宋体" w:eastAsia="宋体"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szCs w:val="24"/>
              </w:rPr>
            </w:pPr>
            <w:r>
              <w:rPr>
                <w:rFonts w:hint="eastAsia" w:ascii="宋体" w:hAnsi="宋体" w:eastAsia="宋体" w:cs="Times New Roman"/>
                <w:b/>
                <w:szCs w:val="24"/>
              </w:rPr>
              <w:t>责任电话</w:t>
            </w:r>
          </w:p>
        </w:tc>
        <w:tc>
          <w:tcPr>
            <w:tcW w:w="1417" w:type="pct"/>
            <w:shd w:val="clear" w:color="auto" w:fill="FFFFFF" w:themeFill="background1"/>
            <w:vAlign w:val="center"/>
          </w:tcPr>
          <w:p>
            <w:pPr>
              <w:spacing w:after="0" w:line="240" w:lineRule="auto"/>
              <w:ind w:left="0"/>
              <w:rPr>
                <w:rFonts w:ascii="宋体" w:hAnsi="宋体" w:eastAsia="宋体" w:cs="Times New Roman"/>
                <w:b/>
                <w:szCs w:val="24"/>
              </w:rPr>
            </w:pPr>
          </w:p>
        </w:tc>
        <w:tc>
          <w:tcPr>
            <w:tcW w:w="615" w:type="pct"/>
            <w:vMerge w:val="continue"/>
            <w:shd w:val="clear" w:color="auto" w:fill="FFFFFF" w:themeFill="background1"/>
            <w:vAlign w:val="center"/>
          </w:tcPr>
          <w:p>
            <w:pPr>
              <w:spacing w:after="0" w:line="240" w:lineRule="auto"/>
              <w:ind w:left="0" w:firstLine="0"/>
              <w:rPr>
                <w:rFonts w:ascii="宋体" w:hAnsi="宋体" w:eastAsia="宋体" w:cs="Times New Roman"/>
                <w:b/>
                <w:szCs w:val="24"/>
              </w:rPr>
            </w:pPr>
          </w:p>
        </w:tc>
        <w:tc>
          <w:tcPr>
            <w:tcW w:w="2101" w:type="pct"/>
            <w:vMerge w:val="continue"/>
            <w:shd w:val="clear" w:color="auto" w:fill="FFFFFF" w:themeFill="background1"/>
            <w:vAlign w:val="center"/>
          </w:tcPr>
          <w:p>
            <w:pPr>
              <w:spacing w:after="0" w:line="240" w:lineRule="auto"/>
              <w:ind w:left="0" w:firstLine="0"/>
              <w:rPr>
                <w:rFonts w:ascii="宋体" w:hAnsi="宋体" w:eastAsia="宋体" w:cs="Times New Roman"/>
                <w:b/>
                <w:szCs w:val="24"/>
              </w:rPr>
            </w:pPr>
          </w:p>
        </w:tc>
      </w:tr>
    </w:tbl>
    <w:p>
      <w:pPr>
        <w:widowControl w:val="0"/>
        <w:spacing w:after="0" w:line="480" w:lineRule="exact"/>
        <w:ind w:left="0" w:firstLine="480"/>
        <w:jc w:val="both"/>
        <w:rPr>
          <w:rFonts w:ascii="宋体" w:hAnsi="宋体" w:eastAsia="宋体" w:cs="Times New Roman"/>
          <w:b/>
          <w:szCs w:val="24"/>
        </w:rPr>
      </w:pPr>
    </w:p>
    <w:p>
      <w:pPr>
        <w:spacing w:after="0" w:line="240" w:lineRule="auto"/>
        <w:ind w:left="0" w:firstLine="0"/>
        <w:rPr>
          <w:rFonts w:ascii="宋体" w:hAnsi="宋体" w:eastAsia="宋体" w:cs="Times New Roman"/>
          <w:b/>
          <w:szCs w:val="24"/>
        </w:rPr>
      </w:pPr>
      <w:r>
        <w:rPr>
          <w:rFonts w:ascii="宋体" w:hAnsi="宋体" w:eastAsia="宋体" w:cs="Times New Roman"/>
          <w:b/>
          <w:szCs w:val="24"/>
        </w:rPr>
        <w:br w:type="page"/>
      </w:r>
    </w:p>
    <w:p>
      <w:pPr>
        <w:widowControl w:val="0"/>
        <w:spacing w:after="0" w:line="480" w:lineRule="exact"/>
        <w:ind w:left="0" w:firstLine="480"/>
        <w:jc w:val="both"/>
        <w:rPr>
          <w:rFonts w:ascii="宋体" w:hAnsi="宋体" w:eastAsia="宋体" w:cs="Times New Roman"/>
          <w:b/>
          <w:szCs w:val="24"/>
        </w:rPr>
      </w:pPr>
    </w:p>
    <w:tbl>
      <w:tblPr>
        <w:tblStyle w:val="30"/>
        <w:tblpPr w:leftFromText="180" w:rightFromText="180" w:vertAnchor="text" w:horzAnchor="margin" w:tblpXSpec="center" w:tblpY="19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2"/>
        <w:gridCol w:w="4569"/>
        <w:gridCol w:w="1983"/>
        <w:gridCol w:w="6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98" w:type="pct"/>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风险点名称</w:t>
            </w:r>
          </w:p>
        </w:tc>
        <w:tc>
          <w:tcPr>
            <w:tcW w:w="1463" w:type="pct"/>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水泵房</w:t>
            </w:r>
          </w:p>
        </w:tc>
        <w:tc>
          <w:tcPr>
            <w:tcW w:w="635" w:type="pct"/>
            <w:vMerge w:val="restart"/>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致险因素描述</w:t>
            </w:r>
          </w:p>
        </w:tc>
        <w:tc>
          <w:tcPr>
            <w:tcW w:w="2105" w:type="pct"/>
            <w:vMerge w:val="restart"/>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1.电气作业人员未持证上岗；</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2.试验、检维修作业未遵守安全操作规程；</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3.检修工具及劳动防护用品有缺陷；</w:t>
            </w:r>
          </w:p>
          <w:p>
            <w:pPr>
              <w:widowControl w:val="0"/>
              <w:spacing w:after="0" w:line="360" w:lineRule="exact"/>
              <w:ind w:left="0" w:firstLine="0"/>
              <w:rPr>
                <w:rFonts w:ascii="宋体" w:hAnsi="宋体" w:eastAsia="宋体" w:cs="Times New Roman"/>
                <w:b/>
                <w:szCs w:val="24"/>
              </w:rPr>
            </w:pPr>
            <w:r>
              <w:rPr>
                <w:rFonts w:hint="eastAsia" w:ascii="宋体" w:hAnsi="宋体" w:eastAsia="宋体" w:cs="Times New Roman"/>
                <w:b/>
                <w:sz w:val="21"/>
                <w:szCs w:val="21"/>
              </w:rPr>
              <w:t>4.通风不良。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98" w:type="pct"/>
            <w:tcBorders>
              <w:bottom w:val="single" w:color="auto" w:sz="4" w:space="0"/>
            </w:tcBorders>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风险等级</w:t>
            </w:r>
          </w:p>
        </w:tc>
        <w:tc>
          <w:tcPr>
            <w:tcW w:w="1463" w:type="pct"/>
            <w:shd w:val="clear" w:color="auto" w:fill="FAE600"/>
            <w:vAlign w:val="center"/>
          </w:tcPr>
          <w:p>
            <w:pPr>
              <w:widowControl w:val="0"/>
              <w:spacing w:after="0" w:line="240" w:lineRule="auto"/>
              <w:ind w:left="0" w:firstLine="0"/>
              <w:jc w:val="center"/>
              <w:rPr>
                <w:rFonts w:ascii="宋体" w:hAnsi="宋体" w:eastAsia="宋体" w:cs="Times New Roman"/>
                <w:b/>
                <w:szCs w:val="24"/>
              </w:rPr>
            </w:pPr>
            <w:r>
              <w:rPr>
                <w:rFonts w:ascii="宋体" w:hAnsi="宋体" w:eastAsia="宋体" w:cs="Times New Roman"/>
                <w:b/>
                <w:szCs w:val="24"/>
              </w:rPr>
              <w:t>一般风险</w:t>
            </w:r>
          </w:p>
        </w:tc>
        <w:tc>
          <w:tcPr>
            <w:tcW w:w="635" w:type="pct"/>
            <w:vMerge w:val="continue"/>
            <w:shd w:val="clear" w:color="auto" w:fill="auto"/>
            <w:vAlign w:val="center"/>
          </w:tcPr>
          <w:p>
            <w:pPr>
              <w:widowControl w:val="0"/>
              <w:spacing w:after="0" w:line="360" w:lineRule="auto"/>
              <w:ind w:left="0" w:firstLine="0"/>
              <w:jc w:val="center"/>
              <w:rPr>
                <w:rFonts w:ascii="宋体" w:hAnsi="宋体" w:eastAsia="宋体" w:cs="Times New Roman"/>
                <w:b/>
                <w:szCs w:val="24"/>
              </w:rPr>
            </w:pPr>
          </w:p>
        </w:tc>
        <w:tc>
          <w:tcPr>
            <w:tcW w:w="2105" w:type="pct"/>
            <w:vMerge w:val="continue"/>
            <w:shd w:val="clear" w:color="auto" w:fill="auto"/>
            <w:vAlign w:val="center"/>
          </w:tcPr>
          <w:p>
            <w:pPr>
              <w:widowControl w:val="0"/>
              <w:spacing w:after="0" w:line="360" w:lineRule="exact"/>
              <w:ind w:left="0" w:firstLine="0"/>
              <w:rPr>
                <w:rFonts w:ascii="宋体" w:hAnsi="宋体" w:eastAsia="宋体"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98" w:type="pct"/>
            <w:tcBorders>
              <w:bottom w:val="single" w:color="auto" w:sz="4" w:space="0"/>
            </w:tcBorders>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事故类型</w:t>
            </w:r>
          </w:p>
        </w:tc>
        <w:tc>
          <w:tcPr>
            <w:tcW w:w="1463" w:type="pct"/>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触电 中毒窒息 机械伤害</w:t>
            </w:r>
          </w:p>
        </w:tc>
        <w:tc>
          <w:tcPr>
            <w:tcW w:w="635" w:type="pct"/>
            <w:vMerge w:val="continue"/>
            <w:shd w:val="clear" w:color="auto" w:fill="auto"/>
            <w:vAlign w:val="center"/>
          </w:tcPr>
          <w:p>
            <w:pPr>
              <w:widowControl w:val="0"/>
              <w:spacing w:after="0" w:line="360" w:lineRule="auto"/>
              <w:ind w:left="0" w:firstLine="0"/>
              <w:jc w:val="center"/>
              <w:rPr>
                <w:rFonts w:ascii="宋体" w:hAnsi="宋体" w:eastAsia="宋体" w:cs="Times New Roman"/>
                <w:b/>
                <w:szCs w:val="24"/>
              </w:rPr>
            </w:pPr>
          </w:p>
        </w:tc>
        <w:tc>
          <w:tcPr>
            <w:tcW w:w="2105" w:type="pct"/>
            <w:vMerge w:val="continue"/>
            <w:shd w:val="clear" w:color="auto" w:fill="auto"/>
            <w:vAlign w:val="center"/>
          </w:tcPr>
          <w:p>
            <w:pPr>
              <w:widowControl w:val="0"/>
              <w:spacing w:after="0" w:line="360" w:lineRule="exact"/>
              <w:ind w:left="0" w:firstLine="0"/>
              <w:rPr>
                <w:rFonts w:ascii="宋体" w:hAnsi="宋体" w:eastAsia="宋体"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2260" w:type="pct"/>
            <w:gridSpan w:val="2"/>
            <w:tcBorders>
              <w:bottom w:val="single" w:color="auto" w:sz="6" w:space="0"/>
            </w:tcBorders>
            <w:shd w:val="clear" w:color="auto" w:fill="auto"/>
            <w:vAlign w:val="center"/>
          </w:tcPr>
          <w:p>
            <w:pPr>
              <w:widowControl w:val="0"/>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安全标志</w:t>
            </w:r>
          </w:p>
          <w:p>
            <w:pPr>
              <w:widowControl w:val="0"/>
              <w:spacing w:after="0" w:line="360" w:lineRule="auto"/>
              <w:ind w:left="0" w:firstLine="0"/>
              <w:jc w:val="center"/>
              <w:rPr>
                <w:rFonts w:ascii="宋体" w:hAnsi="宋体" w:eastAsia="宋体" w:cs="Times New Roman"/>
                <w:b/>
                <w:szCs w:val="24"/>
              </w:rPr>
            </w:pPr>
            <w:r>
              <w:rPr>
                <w:rFonts w:ascii="宋体" w:hAnsi="宋体" w:eastAsia="宋体" w:cs="Times New Roman"/>
                <w:sz w:val="21"/>
                <w:szCs w:val="24"/>
              </w:rPr>
              <w:drawing>
                <wp:inline distT="0" distB="0" distL="0" distR="0">
                  <wp:extent cx="956945" cy="1190625"/>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956945" cy="1190625"/>
                          </a:xfrm>
                          <a:prstGeom prst="rect">
                            <a:avLst/>
                          </a:prstGeom>
                          <a:noFill/>
                          <a:ln>
                            <a:noFill/>
                          </a:ln>
                        </pic:spPr>
                      </pic:pic>
                    </a:graphicData>
                  </a:graphic>
                </wp:inline>
              </w:drawing>
            </w:r>
            <w:r>
              <w:rPr>
                <w:rFonts w:hint="eastAsia" w:ascii="宋体" w:hAnsi="宋体" w:eastAsia="宋体" w:cs="Times New Roman"/>
                <w:b/>
                <w:szCs w:val="24"/>
              </w:rPr>
              <w:t xml:space="preserve"> </w:t>
            </w:r>
            <w:r>
              <w:rPr>
                <w:rFonts w:ascii="宋体" w:hAnsi="宋体" w:eastAsia="宋体" w:cs="Times New Roman"/>
                <w:sz w:val="21"/>
                <w:szCs w:val="24"/>
              </w:rPr>
              <w:drawing>
                <wp:inline distT="0" distB="0" distL="0" distR="0">
                  <wp:extent cx="946150" cy="1190625"/>
                  <wp:effectExtent l="0" t="0" r="635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946150" cy="1190625"/>
                          </a:xfrm>
                          <a:prstGeom prst="rect">
                            <a:avLst/>
                          </a:prstGeom>
                          <a:noFill/>
                          <a:ln>
                            <a:noFill/>
                          </a:ln>
                        </pic:spPr>
                      </pic:pic>
                    </a:graphicData>
                  </a:graphic>
                </wp:inline>
              </w:drawing>
            </w:r>
            <w:r>
              <w:rPr>
                <w:rFonts w:hint="eastAsia" w:ascii="宋体" w:hAnsi="宋体" w:eastAsia="宋体" w:cs="Times New Roman"/>
                <w:b/>
                <w:szCs w:val="24"/>
              </w:rPr>
              <w:t xml:space="preserve"> </w:t>
            </w:r>
            <w:r>
              <w:rPr>
                <w:rFonts w:ascii="宋体" w:hAnsi="宋体" w:eastAsia="宋体"/>
              </w:rPr>
              <w:drawing>
                <wp:inline distT="0" distB="0" distL="0" distR="0">
                  <wp:extent cx="925195" cy="1190625"/>
                  <wp:effectExtent l="0" t="0" r="825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925195" cy="1190625"/>
                          </a:xfrm>
                          <a:prstGeom prst="rect">
                            <a:avLst/>
                          </a:prstGeom>
                          <a:noFill/>
                          <a:ln>
                            <a:noFill/>
                          </a:ln>
                        </pic:spPr>
                      </pic:pic>
                    </a:graphicData>
                  </a:graphic>
                </wp:inline>
              </w:drawing>
            </w:r>
          </w:p>
        </w:tc>
        <w:tc>
          <w:tcPr>
            <w:tcW w:w="635" w:type="pct"/>
            <w:tcBorders>
              <w:bottom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风险管控措施</w:t>
            </w:r>
          </w:p>
        </w:tc>
        <w:tc>
          <w:tcPr>
            <w:tcW w:w="2105" w:type="pct"/>
            <w:tcBorders>
              <w:bottom w:val="single" w:color="auto" w:sz="4" w:space="0"/>
            </w:tcBorders>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1.电气作业人员必须持证上岗；</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2.作业人员须接受岗前安全教育，熟知岗位危险源及防范措施；</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3.检修工具及劳动防护用品应合格且在检验有效期内；</w:t>
            </w:r>
          </w:p>
          <w:p>
            <w:pPr>
              <w:widowControl w:val="0"/>
              <w:spacing w:after="0" w:line="360" w:lineRule="exact"/>
              <w:ind w:left="0" w:firstLine="0"/>
              <w:rPr>
                <w:rFonts w:ascii="宋体" w:hAnsi="宋体" w:eastAsia="宋体" w:cs="Times New Roman"/>
                <w:b/>
                <w:szCs w:val="24"/>
              </w:rPr>
            </w:pPr>
            <w:r>
              <w:rPr>
                <w:rFonts w:hint="eastAsia" w:ascii="宋体" w:hAnsi="宋体" w:eastAsia="宋体" w:cs="Times New Roman"/>
                <w:b/>
                <w:sz w:val="21"/>
                <w:szCs w:val="21"/>
              </w:rPr>
              <w:t>4.污水泵房应确保通风良好。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798" w:type="pct"/>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责任部门</w:t>
            </w:r>
          </w:p>
        </w:tc>
        <w:tc>
          <w:tcPr>
            <w:tcW w:w="1463" w:type="pct"/>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szCs w:val="24"/>
              </w:rPr>
            </w:pPr>
          </w:p>
        </w:tc>
        <w:tc>
          <w:tcPr>
            <w:tcW w:w="635" w:type="pct"/>
            <w:vMerge w:val="restart"/>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应急处置措施</w:t>
            </w:r>
          </w:p>
        </w:tc>
        <w:tc>
          <w:tcPr>
            <w:tcW w:w="2105" w:type="pct"/>
            <w:vMerge w:val="restart"/>
            <w:tcBorders>
              <w:top w:val="single" w:color="auto" w:sz="6" w:space="0"/>
            </w:tcBorders>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1.触电时应</w:t>
            </w:r>
            <w:r>
              <w:rPr>
                <w:rFonts w:ascii="宋体" w:hAnsi="宋体" w:eastAsia="宋体" w:cs="Times New Roman"/>
                <w:b/>
                <w:sz w:val="21"/>
                <w:szCs w:val="21"/>
              </w:rPr>
              <w:t>迅速切断电源，或者用绝缘物体挑开电线或带电物体，使伤者尽快脱离电源</w:t>
            </w:r>
            <w:r>
              <w:rPr>
                <w:rFonts w:hint="eastAsia" w:ascii="宋体" w:hAnsi="宋体" w:eastAsia="宋体" w:cs="Times New Roman"/>
                <w:b/>
                <w:sz w:val="21"/>
                <w:szCs w:val="21"/>
              </w:rPr>
              <w:t>，</w:t>
            </w:r>
            <w:r>
              <w:rPr>
                <w:rFonts w:ascii="宋体" w:hAnsi="宋体" w:eastAsia="宋体" w:cs="Times New Roman"/>
                <w:b/>
                <w:sz w:val="21"/>
                <w:szCs w:val="21"/>
              </w:rPr>
              <w:t>将伤者移至安全地带；</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2.有人员发生中毒窒息后，应先通风、佩戴好防护用品后方可进入，不得盲目施救</w:t>
            </w:r>
            <w:r>
              <w:rPr>
                <w:rFonts w:ascii="宋体" w:hAnsi="宋体" w:eastAsia="宋体" w:cs="Times New Roman"/>
                <w:b/>
                <w:sz w:val="21"/>
                <w:szCs w:val="21"/>
              </w:rPr>
              <w:t>；</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3.按预案及信息报告流程</w:t>
            </w:r>
            <w:r>
              <w:rPr>
                <w:rFonts w:ascii="宋体" w:hAnsi="宋体" w:eastAsia="宋体" w:cs="Times New Roman"/>
                <w:b/>
                <w:sz w:val="21"/>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798" w:type="pct"/>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责任人</w:t>
            </w:r>
          </w:p>
        </w:tc>
        <w:tc>
          <w:tcPr>
            <w:tcW w:w="1463" w:type="pct"/>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szCs w:val="24"/>
              </w:rPr>
            </w:pPr>
          </w:p>
        </w:tc>
        <w:tc>
          <w:tcPr>
            <w:tcW w:w="635" w:type="pct"/>
            <w:vMerge w:val="continue"/>
            <w:shd w:val="clear" w:color="auto" w:fill="auto"/>
            <w:vAlign w:val="center"/>
          </w:tcPr>
          <w:p>
            <w:pPr>
              <w:widowControl w:val="0"/>
              <w:spacing w:after="0" w:line="360" w:lineRule="auto"/>
              <w:ind w:left="0" w:firstLine="0"/>
              <w:jc w:val="center"/>
              <w:rPr>
                <w:rFonts w:ascii="宋体" w:hAnsi="宋体" w:eastAsia="宋体" w:cs="Times New Roman"/>
                <w:b/>
                <w:szCs w:val="24"/>
              </w:rPr>
            </w:pPr>
          </w:p>
        </w:tc>
        <w:tc>
          <w:tcPr>
            <w:tcW w:w="2105" w:type="pct"/>
            <w:vMerge w:val="continue"/>
            <w:shd w:val="clear" w:color="auto" w:fill="auto"/>
            <w:vAlign w:val="center"/>
          </w:tcPr>
          <w:p>
            <w:pPr>
              <w:widowControl w:val="0"/>
              <w:spacing w:after="0" w:line="360" w:lineRule="auto"/>
              <w:ind w:left="0" w:firstLine="0"/>
              <w:rPr>
                <w:rFonts w:ascii="宋体" w:hAnsi="宋体" w:eastAsia="宋体" w:cs="Times New Roman"/>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798" w:type="pct"/>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szCs w:val="24"/>
              </w:rPr>
            </w:pPr>
            <w:r>
              <w:rPr>
                <w:rFonts w:hint="eastAsia" w:ascii="宋体" w:hAnsi="宋体" w:eastAsia="宋体" w:cs="Times New Roman"/>
                <w:b/>
                <w:szCs w:val="24"/>
              </w:rPr>
              <w:t>责任人电话</w:t>
            </w:r>
          </w:p>
        </w:tc>
        <w:tc>
          <w:tcPr>
            <w:tcW w:w="1463" w:type="pct"/>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szCs w:val="24"/>
              </w:rPr>
            </w:pPr>
          </w:p>
        </w:tc>
        <w:tc>
          <w:tcPr>
            <w:tcW w:w="635" w:type="pct"/>
            <w:vMerge w:val="continue"/>
            <w:shd w:val="clear" w:color="auto" w:fill="auto"/>
            <w:vAlign w:val="center"/>
          </w:tcPr>
          <w:p>
            <w:pPr>
              <w:widowControl w:val="0"/>
              <w:spacing w:after="0" w:line="360" w:lineRule="auto"/>
              <w:ind w:left="0" w:firstLine="0"/>
              <w:jc w:val="center"/>
              <w:rPr>
                <w:rFonts w:ascii="宋体" w:hAnsi="宋体" w:eastAsia="宋体" w:cs="Times New Roman"/>
                <w:b/>
                <w:szCs w:val="24"/>
              </w:rPr>
            </w:pPr>
          </w:p>
        </w:tc>
        <w:tc>
          <w:tcPr>
            <w:tcW w:w="2105" w:type="pct"/>
            <w:vMerge w:val="continue"/>
            <w:shd w:val="clear" w:color="auto" w:fill="auto"/>
            <w:vAlign w:val="center"/>
          </w:tcPr>
          <w:p>
            <w:pPr>
              <w:widowControl w:val="0"/>
              <w:spacing w:after="0" w:line="360" w:lineRule="auto"/>
              <w:ind w:left="0" w:firstLine="0"/>
              <w:rPr>
                <w:rFonts w:ascii="宋体" w:hAnsi="宋体" w:eastAsia="宋体" w:cs="Times New Roman"/>
                <w:b/>
                <w:sz w:val="21"/>
                <w:szCs w:val="21"/>
              </w:rPr>
            </w:pPr>
          </w:p>
        </w:tc>
      </w:tr>
    </w:tbl>
    <w:p>
      <w:pPr>
        <w:widowControl w:val="0"/>
        <w:spacing w:after="0" w:line="480" w:lineRule="exact"/>
        <w:ind w:left="0" w:firstLine="480"/>
        <w:jc w:val="both"/>
        <w:rPr>
          <w:rFonts w:ascii="宋体" w:hAnsi="宋体" w:eastAsia="宋体" w:cs="Times New Roman"/>
          <w:b/>
          <w:szCs w:val="24"/>
        </w:rPr>
      </w:pPr>
    </w:p>
    <w:p>
      <w:pPr>
        <w:spacing w:after="0" w:line="240" w:lineRule="auto"/>
        <w:ind w:left="0" w:firstLine="0"/>
        <w:rPr>
          <w:rFonts w:ascii="宋体" w:hAnsi="宋体" w:eastAsia="宋体" w:cs="Times New Roman"/>
          <w:b/>
          <w:szCs w:val="24"/>
        </w:rPr>
      </w:pPr>
      <w:r>
        <w:rPr>
          <w:rFonts w:ascii="宋体" w:hAnsi="宋体" w:eastAsia="宋体" w:cs="Times New Roman"/>
          <w:b/>
          <w:szCs w:val="24"/>
        </w:rPr>
        <w:br w:type="page"/>
      </w:r>
    </w:p>
    <w:p>
      <w:pPr>
        <w:widowControl w:val="0"/>
        <w:spacing w:after="0" w:line="480" w:lineRule="exact"/>
        <w:ind w:left="0" w:firstLine="480"/>
        <w:jc w:val="both"/>
        <w:rPr>
          <w:rFonts w:ascii="宋体" w:hAnsi="宋体" w:eastAsia="宋体" w:cs="Times New Roman"/>
          <w:b/>
          <w:szCs w:val="24"/>
        </w:rPr>
      </w:pPr>
    </w:p>
    <w:tbl>
      <w:tblPr>
        <w:tblStyle w:val="30"/>
        <w:tblpPr w:leftFromText="180" w:rightFromText="180" w:vertAnchor="text" w:horzAnchor="margin" w:tblpXSpec="center"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8"/>
        <w:gridCol w:w="4572"/>
        <w:gridCol w:w="1986"/>
        <w:gridCol w:w="6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pct"/>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风险点名称</w:t>
            </w:r>
          </w:p>
        </w:tc>
        <w:tc>
          <w:tcPr>
            <w:tcW w:w="1463" w:type="pct"/>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设备及材料库房</w:t>
            </w:r>
          </w:p>
        </w:tc>
        <w:tc>
          <w:tcPr>
            <w:tcW w:w="636" w:type="pct"/>
            <w:vMerge w:val="restart"/>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致险因素描述</w:t>
            </w:r>
          </w:p>
        </w:tc>
        <w:tc>
          <w:tcPr>
            <w:tcW w:w="2101" w:type="pct"/>
            <w:vMerge w:val="restart"/>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1.车辆出入库速度过快、视野受阻等；</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2.易燃物品、油料等存放不当，库区用火管理不严，消防设备配置不全，违规用电等；</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3.物料、机械设备搬运不当，堆放过高、摆放不牢等；</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4.非本设备作业人员驾驶操作机械设备，不遵守安全操作规程。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00" w:type="pct"/>
            <w:tcBorders>
              <w:bottom w:val="single" w:color="auto" w:sz="4" w:space="0"/>
            </w:tcBorders>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风险等级</w:t>
            </w:r>
          </w:p>
        </w:tc>
        <w:tc>
          <w:tcPr>
            <w:tcW w:w="1463" w:type="pct"/>
            <w:shd w:val="clear" w:color="auto" w:fill="FAE600"/>
            <w:vAlign w:val="center"/>
          </w:tcPr>
          <w:p>
            <w:pPr>
              <w:widowControl w:val="0"/>
              <w:spacing w:after="0" w:line="360" w:lineRule="exact"/>
              <w:ind w:left="0" w:firstLine="0"/>
              <w:jc w:val="center"/>
              <w:rPr>
                <w:rFonts w:ascii="宋体" w:hAnsi="宋体" w:eastAsia="宋体" w:cs="Times New Roman"/>
                <w:b/>
                <w:sz w:val="21"/>
                <w:szCs w:val="21"/>
              </w:rPr>
            </w:pPr>
            <w:r>
              <w:rPr>
                <w:rFonts w:ascii="宋体" w:hAnsi="宋体" w:eastAsia="宋体" w:cs="Times New Roman"/>
                <w:b/>
                <w:sz w:val="21"/>
                <w:szCs w:val="21"/>
              </w:rPr>
              <w:t>一般风险</w:t>
            </w:r>
          </w:p>
        </w:tc>
        <w:tc>
          <w:tcPr>
            <w:tcW w:w="636" w:type="pct"/>
            <w:vMerge w:val="continue"/>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p>
        </w:tc>
        <w:tc>
          <w:tcPr>
            <w:tcW w:w="2101" w:type="pct"/>
            <w:vMerge w:val="continue"/>
            <w:shd w:val="clear" w:color="auto" w:fill="auto"/>
            <w:vAlign w:val="center"/>
          </w:tcPr>
          <w:p>
            <w:pPr>
              <w:widowControl w:val="0"/>
              <w:spacing w:after="0" w:line="360" w:lineRule="exact"/>
              <w:ind w:left="0" w:firstLine="0"/>
              <w:rPr>
                <w:rFonts w:ascii="宋体" w:hAnsi="宋体" w:eastAsia="宋体" w:cs="Times New Roman"/>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00" w:type="pct"/>
            <w:tcBorders>
              <w:bottom w:val="single" w:color="auto" w:sz="4" w:space="0"/>
            </w:tcBorders>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事故类型</w:t>
            </w:r>
          </w:p>
        </w:tc>
        <w:tc>
          <w:tcPr>
            <w:tcW w:w="1463" w:type="pct"/>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车辆伤害 火灾 机械伤害 物体打击</w:t>
            </w:r>
          </w:p>
        </w:tc>
        <w:tc>
          <w:tcPr>
            <w:tcW w:w="636" w:type="pct"/>
            <w:vMerge w:val="continue"/>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p>
        </w:tc>
        <w:tc>
          <w:tcPr>
            <w:tcW w:w="2101" w:type="pct"/>
            <w:vMerge w:val="continue"/>
            <w:shd w:val="clear" w:color="auto" w:fill="auto"/>
            <w:vAlign w:val="center"/>
          </w:tcPr>
          <w:p>
            <w:pPr>
              <w:widowControl w:val="0"/>
              <w:spacing w:after="0" w:line="360" w:lineRule="exact"/>
              <w:ind w:left="0" w:firstLine="0"/>
              <w:rPr>
                <w:rFonts w:ascii="宋体" w:hAnsi="宋体" w:eastAsia="宋体" w:cs="Times New Roman"/>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2264" w:type="pct"/>
            <w:gridSpan w:val="2"/>
            <w:tcBorders>
              <w:bottom w:val="single" w:color="auto" w:sz="6" w:space="0"/>
            </w:tcBorders>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安全标志</w:t>
            </w:r>
          </w:p>
          <w:p>
            <w:pPr>
              <w:widowControl w:val="0"/>
              <w:spacing w:after="0" w:line="360" w:lineRule="auto"/>
              <w:ind w:left="0" w:firstLine="0"/>
              <w:jc w:val="center"/>
              <w:rPr>
                <w:rFonts w:ascii="宋体" w:hAnsi="宋体" w:eastAsia="宋体" w:cs="Times New Roman"/>
                <w:b/>
                <w:sz w:val="21"/>
                <w:szCs w:val="21"/>
              </w:rPr>
            </w:pPr>
            <w:r>
              <w:rPr>
                <w:rFonts w:ascii="宋体" w:hAnsi="宋体" w:eastAsia="宋体" w:cs="Times New Roman"/>
                <w:b/>
                <w:sz w:val="21"/>
                <w:szCs w:val="21"/>
              </w:rPr>
              <w:drawing>
                <wp:inline distT="0" distB="0" distL="0" distR="0">
                  <wp:extent cx="935355" cy="114808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935355" cy="1148080"/>
                          </a:xfrm>
                          <a:prstGeom prst="rect">
                            <a:avLst/>
                          </a:prstGeom>
                          <a:noFill/>
                          <a:ln>
                            <a:noFill/>
                          </a:ln>
                        </pic:spPr>
                      </pic:pic>
                    </a:graphicData>
                  </a:graphic>
                </wp:inline>
              </w:drawing>
            </w:r>
            <w:r>
              <w:rPr>
                <w:rFonts w:ascii="宋体" w:hAnsi="宋体" w:eastAsia="宋体" w:cs="Times New Roman"/>
                <w:b/>
                <w:sz w:val="21"/>
                <w:szCs w:val="21"/>
              </w:rPr>
              <w:drawing>
                <wp:inline distT="0" distB="0" distL="0" distR="0">
                  <wp:extent cx="956945" cy="114808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956945" cy="1148080"/>
                          </a:xfrm>
                          <a:prstGeom prst="rect">
                            <a:avLst/>
                          </a:prstGeom>
                          <a:noFill/>
                          <a:ln>
                            <a:noFill/>
                          </a:ln>
                        </pic:spPr>
                      </pic:pic>
                    </a:graphicData>
                  </a:graphic>
                </wp:inline>
              </w:drawing>
            </w:r>
            <w:r>
              <w:rPr>
                <w:rFonts w:ascii="宋体" w:hAnsi="宋体" w:eastAsia="宋体" w:cs="Times New Roman"/>
                <w:b/>
                <w:sz w:val="21"/>
                <w:szCs w:val="21"/>
              </w:rPr>
              <w:drawing>
                <wp:inline distT="0" distB="0" distL="0" distR="0">
                  <wp:extent cx="903605" cy="114808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903605" cy="1148080"/>
                          </a:xfrm>
                          <a:prstGeom prst="rect">
                            <a:avLst/>
                          </a:prstGeom>
                          <a:noFill/>
                          <a:ln>
                            <a:noFill/>
                          </a:ln>
                        </pic:spPr>
                      </pic:pic>
                    </a:graphicData>
                  </a:graphic>
                </wp:inline>
              </w:drawing>
            </w:r>
            <w:r>
              <w:rPr>
                <w:rFonts w:ascii="宋体" w:hAnsi="宋体" w:eastAsia="宋体" w:cs="Times New Roman"/>
                <w:b/>
                <w:sz w:val="21"/>
                <w:szCs w:val="21"/>
              </w:rPr>
              <w:drawing>
                <wp:inline distT="0" distB="0" distL="0" distR="0">
                  <wp:extent cx="927735" cy="1125220"/>
                  <wp:effectExtent l="0" t="0" r="571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945179" cy="1146900"/>
                          </a:xfrm>
                          <a:prstGeom prst="rect">
                            <a:avLst/>
                          </a:prstGeom>
                          <a:noFill/>
                          <a:ln>
                            <a:noFill/>
                          </a:ln>
                        </pic:spPr>
                      </pic:pic>
                    </a:graphicData>
                  </a:graphic>
                </wp:inline>
              </w:drawing>
            </w:r>
          </w:p>
        </w:tc>
        <w:tc>
          <w:tcPr>
            <w:tcW w:w="636" w:type="pct"/>
            <w:tcBorders>
              <w:bottom w:val="single" w:color="auto" w:sz="6" w:space="0"/>
            </w:tcBorders>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风险管控措施</w:t>
            </w:r>
          </w:p>
        </w:tc>
        <w:tc>
          <w:tcPr>
            <w:tcW w:w="2101" w:type="pct"/>
            <w:tcBorders>
              <w:bottom w:val="single" w:color="auto" w:sz="4" w:space="0"/>
            </w:tcBorders>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1.控制出入口车辆速度，必要时有专人指挥；</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2.物料避免禁忌条件接触；配置足量够消防器材，严禁私拉乱接、违规用电，限制库内及周边动火，禁止库内吸烟；</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 机械设备、物料定置管理，摆放整齐、牢固；</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4.机械设备应专人专管，作业人员须接受岗前安全教育，严禁违章及冒险作业。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00" w:type="pct"/>
            <w:tcBorders>
              <w:top w:val="single" w:color="auto" w:sz="6" w:space="0"/>
            </w:tcBorders>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责任部门</w:t>
            </w:r>
          </w:p>
        </w:tc>
        <w:tc>
          <w:tcPr>
            <w:tcW w:w="1463" w:type="pct"/>
            <w:tcBorders>
              <w:top w:val="single" w:color="auto" w:sz="6" w:space="0"/>
            </w:tcBorders>
            <w:shd w:val="clear" w:color="auto" w:fill="auto"/>
            <w:vAlign w:val="center"/>
          </w:tcPr>
          <w:p>
            <w:pPr>
              <w:widowControl w:val="0"/>
              <w:spacing w:after="0" w:line="360" w:lineRule="exact"/>
              <w:ind w:left="0" w:firstLine="0"/>
              <w:rPr>
                <w:rFonts w:ascii="宋体" w:hAnsi="宋体" w:eastAsia="宋体" w:cs="Times New Roman"/>
                <w:b/>
                <w:sz w:val="21"/>
                <w:szCs w:val="21"/>
              </w:rPr>
            </w:pPr>
          </w:p>
        </w:tc>
        <w:tc>
          <w:tcPr>
            <w:tcW w:w="636" w:type="pct"/>
            <w:vMerge w:val="restart"/>
            <w:tcBorders>
              <w:top w:val="single" w:color="auto" w:sz="6" w:space="0"/>
            </w:tcBorders>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应急处置措施</w:t>
            </w:r>
          </w:p>
        </w:tc>
        <w:tc>
          <w:tcPr>
            <w:tcW w:w="2101" w:type="pct"/>
            <w:vMerge w:val="restart"/>
            <w:tcBorders>
              <w:top w:val="single" w:color="auto" w:sz="6" w:space="0"/>
            </w:tcBorders>
            <w:shd w:val="clear" w:color="auto" w:fill="auto"/>
            <w:vAlign w:val="center"/>
          </w:tcPr>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1.对受伤人员进行抢救。</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2.发生火灾时按预案进行初期火灾控制，并及时将无关人员进行疏散；</w:t>
            </w:r>
          </w:p>
          <w:p>
            <w:pPr>
              <w:widowControl w:val="0"/>
              <w:spacing w:after="0" w:line="360" w:lineRule="exact"/>
              <w:ind w:left="0" w:firstLine="0"/>
              <w:rPr>
                <w:rFonts w:ascii="宋体" w:hAnsi="宋体" w:eastAsia="宋体" w:cs="Times New Roman"/>
                <w:b/>
                <w:sz w:val="21"/>
                <w:szCs w:val="21"/>
              </w:rPr>
            </w:pPr>
            <w:r>
              <w:rPr>
                <w:rFonts w:hint="eastAsia" w:ascii="宋体" w:hAnsi="宋体" w:eastAsia="宋体" w:cs="Times New Roman"/>
                <w:b/>
                <w:sz w:val="21"/>
                <w:szCs w:val="21"/>
              </w:rPr>
              <w:t>3.按预案及信息报告流程</w:t>
            </w:r>
            <w:r>
              <w:rPr>
                <w:rFonts w:ascii="宋体" w:hAnsi="宋体" w:eastAsia="宋体" w:cs="Times New Roman"/>
                <w:b/>
                <w:sz w:val="21"/>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00" w:type="pct"/>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责任人</w:t>
            </w:r>
          </w:p>
        </w:tc>
        <w:tc>
          <w:tcPr>
            <w:tcW w:w="1463" w:type="pct"/>
            <w:shd w:val="clear" w:color="auto" w:fill="auto"/>
            <w:vAlign w:val="center"/>
          </w:tcPr>
          <w:p>
            <w:pPr>
              <w:widowControl w:val="0"/>
              <w:spacing w:after="0" w:line="360" w:lineRule="exact"/>
              <w:ind w:left="0" w:firstLine="0"/>
              <w:rPr>
                <w:rFonts w:ascii="宋体" w:hAnsi="宋体" w:eastAsia="宋体" w:cs="Times New Roman"/>
                <w:b/>
                <w:sz w:val="21"/>
                <w:szCs w:val="21"/>
              </w:rPr>
            </w:pPr>
          </w:p>
        </w:tc>
        <w:tc>
          <w:tcPr>
            <w:tcW w:w="636" w:type="pct"/>
            <w:vMerge w:val="continue"/>
            <w:shd w:val="clear" w:color="auto" w:fill="auto"/>
            <w:vAlign w:val="center"/>
          </w:tcPr>
          <w:p>
            <w:pPr>
              <w:widowControl w:val="0"/>
              <w:spacing w:after="0" w:line="360" w:lineRule="exact"/>
              <w:ind w:left="0" w:firstLine="0"/>
              <w:rPr>
                <w:rFonts w:ascii="宋体" w:hAnsi="宋体" w:eastAsia="宋体" w:cs="Times New Roman"/>
                <w:b/>
                <w:sz w:val="21"/>
                <w:szCs w:val="21"/>
              </w:rPr>
            </w:pPr>
          </w:p>
        </w:tc>
        <w:tc>
          <w:tcPr>
            <w:tcW w:w="2101" w:type="pct"/>
            <w:vMerge w:val="continue"/>
            <w:shd w:val="clear" w:color="auto" w:fill="auto"/>
            <w:vAlign w:val="center"/>
          </w:tcPr>
          <w:p>
            <w:pPr>
              <w:widowControl w:val="0"/>
              <w:spacing w:after="0" w:line="360" w:lineRule="exact"/>
              <w:ind w:left="0" w:firstLine="0"/>
              <w:rPr>
                <w:rFonts w:ascii="宋体" w:hAnsi="宋体" w:eastAsia="宋体" w:cs="Times New Roman"/>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00" w:type="pct"/>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责任电话</w:t>
            </w:r>
          </w:p>
        </w:tc>
        <w:tc>
          <w:tcPr>
            <w:tcW w:w="1463" w:type="pct"/>
            <w:shd w:val="clear" w:color="auto" w:fill="auto"/>
            <w:vAlign w:val="center"/>
          </w:tcPr>
          <w:p>
            <w:pPr>
              <w:widowControl w:val="0"/>
              <w:spacing w:after="0" w:line="360" w:lineRule="exact"/>
              <w:ind w:left="0" w:firstLine="0"/>
              <w:rPr>
                <w:rFonts w:ascii="宋体" w:hAnsi="宋体" w:eastAsia="宋体" w:cs="Times New Roman"/>
                <w:b/>
                <w:sz w:val="21"/>
                <w:szCs w:val="21"/>
              </w:rPr>
            </w:pPr>
          </w:p>
        </w:tc>
        <w:tc>
          <w:tcPr>
            <w:tcW w:w="636" w:type="pct"/>
            <w:vMerge w:val="continue"/>
            <w:shd w:val="clear" w:color="auto" w:fill="auto"/>
            <w:vAlign w:val="center"/>
          </w:tcPr>
          <w:p>
            <w:pPr>
              <w:widowControl w:val="0"/>
              <w:spacing w:after="0" w:line="360" w:lineRule="exact"/>
              <w:ind w:left="0" w:firstLine="0"/>
              <w:rPr>
                <w:rFonts w:ascii="宋体" w:hAnsi="宋体" w:eastAsia="宋体" w:cs="Times New Roman"/>
                <w:b/>
                <w:sz w:val="21"/>
                <w:szCs w:val="21"/>
              </w:rPr>
            </w:pPr>
          </w:p>
        </w:tc>
        <w:tc>
          <w:tcPr>
            <w:tcW w:w="2101" w:type="pct"/>
            <w:vMerge w:val="continue"/>
            <w:shd w:val="clear" w:color="auto" w:fill="auto"/>
            <w:vAlign w:val="center"/>
          </w:tcPr>
          <w:p>
            <w:pPr>
              <w:widowControl w:val="0"/>
              <w:spacing w:after="0" w:line="360" w:lineRule="exact"/>
              <w:ind w:left="0" w:firstLine="0"/>
              <w:rPr>
                <w:rFonts w:ascii="宋体" w:hAnsi="宋体" w:eastAsia="宋体" w:cs="Times New Roman"/>
                <w:b/>
                <w:sz w:val="21"/>
                <w:szCs w:val="21"/>
              </w:rPr>
            </w:pPr>
          </w:p>
        </w:tc>
      </w:tr>
    </w:tbl>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spacing w:after="0" w:line="240" w:lineRule="auto"/>
        <w:ind w:left="0" w:firstLine="0"/>
        <w:rPr>
          <w:rFonts w:ascii="宋体" w:hAnsi="宋体" w:eastAsia="宋体" w:cs="Times New Roman"/>
          <w:b/>
          <w:sz w:val="21"/>
          <w:szCs w:val="21"/>
        </w:rPr>
      </w:pPr>
      <w:r>
        <w:rPr>
          <w:rFonts w:ascii="宋体" w:hAnsi="宋体" w:eastAsia="宋体" w:cs="Times New Roman"/>
          <w:b/>
          <w:sz w:val="21"/>
          <w:szCs w:val="21"/>
        </w:rPr>
        <w:br w:type="page"/>
      </w:r>
    </w:p>
    <w:p>
      <w:pPr>
        <w:widowControl w:val="0"/>
        <w:spacing w:after="0" w:line="360" w:lineRule="exact"/>
        <w:ind w:left="0" w:firstLine="0"/>
        <w:rPr>
          <w:rFonts w:ascii="宋体" w:hAnsi="宋体" w:eastAsia="宋体" w:cs="Times New Roman"/>
          <w:b/>
          <w:sz w:val="21"/>
          <w:szCs w:val="21"/>
        </w:rPr>
      </w:pPr>
    </w:p>
    <w:tbl>
      <w:tblPr>
        <w:tblStyle w:val="30"/>
        <w:tblpPr w:leftFromText="180" w:rightFromText="180" w:vertAnchor="text" w:horzAnchor="margin" w:tblpXSpec="center" w:tblpY="19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2"/>
        <w:gridCol w:w="4569"/>
        <w:gridCol w:w="1368"/>
        <w:gridCol w:w="7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shd w:val="clear" w:color="auto" w:fill="auto"/>
            <w:vAlign w:val="center"/>
          </w:tcPr>
          <w:p>
            <w:pPr>
              <w:spacing w:after="0" w:line="240" w:lineRule="auto"/>
              <w:ind w:left="0" w:firstLine="0"/>
              <w:jc w:val="center"/>
              <w:rPr>
                <w:rFonts w:cs="Times New Roman" w:asciiTheme="minorEastAsia" w:hAnsiTheme="minorEastAsia" w:eastAsiaTheme="minorEastAsia"/>
                <w:b/>
              </w:rPr>
            </w:pPr>
            <w:r>
              <w:rPr>
                <w:rFonts w:hint="eastAsia" w:cs="Times New Roman" w:asciiTheme="minorEastAsia" w:hAnsiTheme="minorEastAsia" w:eastAsiaTheme="minorEastAsia"/>
                <w:b/>
              </w:rPr>
              <w:t>风险点</w:t>
            </w:r>
          </w:p>
        </w:tc>
        <w:tc>
          <w:tcPr>
            <w:tcW w:w="1463" w:type="pct"/>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消防泵房</w:t>
            </w:r>
          </w:p>
        </w:tc>
        <w:tc>
          <w:tcPr>
            <w:tcW w:w="438" w:type="pct"/>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致险因素描述</w:t>
            </w:r>
          </w:p>
        </w:tc>
        <w:tc>
          <w:tcPr>
            <w:tcW w:w="2301" w:type="pct"/>
            <w:vMerge w:val="restart"/>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1.非专业人员操作；</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2.作业人员操作流程不熟，未遵守安全操作规程；</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3.设备检测、维修保养不到位，照明不足，开关、阀门未处于正确位置；</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4.供电设备外壳及接地不到位。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bottom w:val="single" w:color="auto" w:sz="4"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rPr>
            </w:pPr>
            <w:r>
              <w:rPr>
                <w:rFonts w:hint="eastAsia" w:cs="Times New Roman" w:asciiTheme="minorEastAsia" w:hAnsiTheme="minorEastAsia" w:eastAsiaTheme="minorEastAsia"/>
                <w:b/>
              </w:rPr>
              <w:t>风险等级</w:t>
            </w:r>
          </w:p>
        </w:tc>
        <w:tc>
          <w:tcPr>
            <w:tcW w:w="1463" w:type="pct"/>
            <w:shd w:val="clear" w:color="auto" w:fill="FAE600"/>
            <w:vAlign w:val="center"/>
          </w:tcPr>
          <w:p>
            <w:pPr>
              <w:spacing w:after="0" w:line="240" w:lineRule="auto"/>
              <w:ind w:left="0" w:firstLine="0"/>
              <w:jc w:val="center"/>
              <w:rPr>
                <w:rFonts w:cs="Times New Roman" w:asciiTheme="minorEastAsia" w:hAnsiTheme="minorEastAsia" w:eastAsiaTheme="minorEastAsia"/>
                <w:b/>
                <w:szCs w:val="24"/>
              </w:rPr>
            </w:pPr>
            <w:r>
              <w:rPr>
                <w:rFonts w:cs="Times New Roman" w:asciiTheme="minorEastAsia" w:hAnsiTheme="minorEastAsia" w:eastAsiaTheme="minorEastAsia"/>
                <w:b/>
                <w:szCs w:val="24"/>
              </w:rPr>
              <w:t>一般风险</w:t>
            </w:r>
          </w:p>
        </w:tc>
        <w:tc>
          <w:tcPr>
            <w:tcW w:w="438" w:type="pct"/>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2301" w:type="pct"/>
            <w:vMerge w:val="continue"/>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bottom w:val="single" w:color="auto" w:sz="4"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rPr>
            </w:pPr>
            <w:r>
              <w:rPr>
                <w:rFonts w:hint="eastAsia" w:cs="Times New Roman" w:asciiTheme="minorEastAsia" w:hAnsiTheme="minorEastAsia" w:eastAsiaTheme="minorEastAsia"/>
                <w:b/>
              </w:rPr>
              <w:t>事故类型</w:t>
            </w:r>
          </w:p>
        </w:tc>
        <w:tc>
          <w:tcPr>
            <w:tcW w:w="1463" w:type="pct"/>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事故扩大 触电 淹溺 机械伤害</w:t>
            </w:r>
          </w:p>
        </w:tc>
        <w:tc>
          <w:tcPr>
            <w:tcW w:w="438" w:type="pct"/>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2301" w:type="pct"/>
            <w:vMerge w:val="continue"/>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260" w:type="pct"/>
            <w:gridSpan w:val="2"/>
            <w:tcBorders>
              <w:bottom w:val="single" w:color="auto" w:sz="6" w:space="0"/>
            </w:tcBorders>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安全标志</w:t>
            </w:r>
          </w:p>
          <w:p>
            <w:pPr>
              <w:spacing w:after="0" w:line="240" w:lineRule="auto"/>
              <w:ind w:left="0" w:firstLine="0"/>
              <w:jc w:val="center"/>
              <w:rPr>
                <w:rFonts w:cs="Times New Roman" w:asciiTheme="minorEastAsia" w:hAnsiTheme="minorEastAsia" w:eastAsiaTheme="minorEastAsia"/>
                <w:b/>
                <w:szCs w:val="24"/>
              </w:rPr>
            </w:pPr>
            <w:r>
              <w:rPr>
                <w:rFonts w:cs="Times New Roman" w:asciiTheme="minorEastAsia" w:hAnsiTheme="minorEastAsia" w:eastAsiaTheme="minorEastAsia"/>
                <w:szCs w:val="24"/>
              </w:rPr>
              <w:drawing>
                <wp:inline distT="0" distB="0" distL="0" distR="0">
                  <wp:extent cx="956945" cy="11823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958446" cy="1184528"/>
                          </a:xfrm>
                          <a:prstGeom prst="rect">
                            <a:avLst/>
                          </a:prstGeom>
                          <a:noFill/>
                          <a:ln>
                            <a:noFill/>
                          </a:ln>
                        </pic:spPr>
                      </pic:pic>
                    </a:graphicData>
                  </a:graphic>
                </wp:inline>
              </w:drawing>
            </w:r>
            <w:r>
              <w:rPr>
                <w:rFonts w:asciiTheme="minorEastAsia" w:hAnsiTheme="minorEastAsia" w:eastAsiaTheme="minorEastAsia"/>
              </w:rPr>
              <w:drawing>
                <wp:inline distT="0" distB="0" distL="0" distR="0">
                  <wp:extent cx="929005" cy="1224280"/>
                  <wp:effectExtent l="0" t="0" r="444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2" cstate="print"/>
                          <a:stretch>
                            <a:fillRect/>
                          </a:stretch>
                        </pic:blipFill>
                        <pic:spPr>
                          <a:xfrm>
                            <a:off x="0" y="0"/>
                            <a:ext cx="952502" cy="1254548"/>
                          </a:xfrm>
                          <a:prstGeom prst="rect">
                            <a:avLst/>
                          </a:prstGeom>
                        </pic:spPr>
                      </pic:pic>
                    </a:graphicData>
                  </a:graphic>
                </wp:inline>
              </w:drawing>
            </w:r>
            <w:r>
              <w:rPr>
                <w:rFonts w:asciiTheme="minorEastAsia" w:hAnsiTheme="minorEastAsia" w:eastAsiaTheme="minorEastAsia"/>
              </w:rPr>
              <w:drawing>
                <wp:inline distT="0" distB="0" distL="0" distR="0">
                  <wp:extent cx="940435" cy="121539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3" cstate="print"/>
                          <a:stretch>
                            <a:fillRect/>
                          </a:stretch>
                        </pic:blipFill>
                        <pic:spPr>
                          <a:xfrm>
                            <a:off x="0" y="0"/>
                            <a:ext cx="961632" cy="1243215"/>
                          </a:xfrm>
                          <a:prstGeom prst="rect">
                            <a:avLst/>
                          </a:prstGeom>
                        </pic:spPr>
                      </pic:pic>
                    </a:graphicData>
                  </a:graphic>
                </wp:inline>
              </w:drawing>
            </w:r>
            <w:r>
              <w:rPr>
                <w:rFonts w:asciiTheme="minorEastAsia" w:hAnsiTheme="minorEastAsia" w:eastAsiaTheme="minorEastAsia"/>
              </w:rPr>
              <w:drawing>
                <wp:inline distT="0" distB="0" distL="0" distR="0">
                  <wp:extent cx="956945" cy="122872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4" cstate="print"/>
                          <a:stretch>
                            <a:fillRect/>
                          </a:stretch>
                        </pic:blipFill>
                        <pic:spPr>
                          <a:xfrm>
                            <a:off x="0" y="0"/>
                            <a:ext cx="989287" cy="1269583"/>
                          </a:xfrm>
                          <a:prstGeom prst="rect">
                            <a:avLst/>
                          </a:prstGeom>
                        </pic:spPr>
                      </pic:pic>
                    </a:graphicData>
                  </a:graphic>
                </wp:inline>
              </w:drawing>
            </w:r>
          </w:p>
        </w:tc>
        <w:tc>
          <w:tcPr>
            <w:tcW w:w="438" w:type="pct"/>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风险管控措施</w:t>
            </w:r>
          </w:p>
        </w:tc>
        <w:tc>
          <w:tcPr>
            <w:tcW w:w="2301" w:type="pct"/>
            <w:tcBorders>
              <w:bottom w:val="single" w:color="auto" w:sz="4" w:space="0"/>
            </w:tcBorders>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1.无关人员严禁进入</w:t>
            </w:r>
            <w:r>
              <w:rPr>
                <w:rFonts w:hint="eastAsia" w:cs="Times New Roman" w:asciiTheme="minorEastAsia" w:hAnsiTheme="minorEastAsia" w:eastAsiaTheme="minorEastAsia"/>
                <w:b/>
                <w:sz w:val="22"/>
                <w:szCs w:val="21"/>
              </w:rPr>
              <w:t>、</w:t>
            </w:r>
            <w:r>
              <w:rPr>
                <w:rFonts w:cs="Times New Roman" w:asciiTheme="minorEastAsia" w:hAnsiTheme="minorEastAsia" w:eastAsiaTheme="minorEastAsia"/>
                <w:b/>
                <w:sz w:val="22"/>
                <w:szCs w:val="21"/>
              </w:rPr>
              <w:t>操作；</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2.</w:t>
            </w:r>
            <w:r>
              <w:rPr>
                <w:rFonts w:hint="eastAsia" w:cs="Times New Roman" w:asciiTheme="minorEastAsia" w:hAnsiTheme="minorEastAsia" w:eastAsiaTheme="minorEastAsia"/>
                <w:b/>
                <w:sz w:val="22"/>
                <w:szCs w:val="21"/>
              </w:rPr>
              <w:t>由专业人员操作，</w:t>
            </w:r>
            <w:r>
              <w:rPr>
                <w:rFonts w:cs="Times New Roman" w:asciiTheme="minorEastAsia" w:hAnsiTheme="minorEastAsia" w:eastAsiaTheme="minorEastAsia"/>
                <w:b/>
                <w:sz w:val="22"/>
                <w:szCs w:val="21"/>
              </w:rPr>
              <w:t>熟知岗位</w:t>
            </w:r>
            <w:r>
              <w:rPr>
                <w:rFonts w:hint="eastAsia" w:cs="Times New Roman" w:asciiTheme="minorEastAsia" w:hAnsiTheme="minorEastAsia" w:eastAsiaTheme="minorEastAsia"/>
                <w:b/>
                <w:sz w:val="22"/>
                <w:szCs w:val="21"/>
              </w:rPr>
              <w:t>风险</w:t>
            </w:r>
            <w:r>
              <w:rPr>
                <w:rFonts w:cs="Times New Roman" w:asciiTheme="minorEastAsia" w:hAnsiTheme="minorEastAsia" w:eastAsiaTheme="minorEastAsia"/>
                <w:b/>
                <w:sz w:val="22"/>
                <w:szCs w:val="21"/>
              </w:rPr>
              <w:t>及防范措施</w:t>
            </w:r>
            <w:r>
              <w:rPr>
                <w:rFonts w:hint="eastAsia" w:cs="Times New Roman" w:asciiTheme="minorEastAsia" w:hAnsiTheme="minorEastAsia" w:eastAsiaTheme="minorEastAsia"/>
                <w:b/>
                <w:sz w:val="22"/>
                <w:szCs w:val="21"/>
              </w:rPr>
              <w:t>，</w:t>
            </w:r>
            <w:r>
              <w:rPr>
                <w:rFonts w:cs="Times New Roman" w:asciiTheme="minorEastAsia" w:hAnsiTheme="minorEastAsia" w:eastAsiaTheme="minorEastAsia"/>
                <w:b/>
                <w:sz w:val="22"/>
                <w:szCs w:val="21"/>
              </w:rPr>
              <w:t>按规程操作；</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3.检修工具及劳动防护用品应合格，且在检验有效期内；</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4</w:t>
            </w:r>
            <w:r>
              <w:rPr>
                <w:rFonts w:cs="Times New Roman" w:asciiTheme="minorEastAsia" w:hAnsiTheme="minorEastAsia" w:eastAsiaTheme="minorEastAsia"/>
                <w:b/>
                <w:sz w:val="22"/>
                <w:szCs w:val="21"/>
              </w:rPr>
              <w:t>.</w:t>
            </w:r>
            <w:r>
              <w:rPr>
                <w:rFonts w:hint="eastAsia" w:cs="Times New Roman" w:asciiTheme="minorEastAsia" w:hAnsiTheme="minorEastAsia" w:eastAsiaTheme="minorEastAsia"/>
                <w:b/>
                <w:sz w:val="22"/>
                <w:szCs w:val="21"/>
              </w:rPr>
              <w:t>控制</w:t>
            </w:r>
            <w:r>
              <w:rPr>
                <w:rFonts w:cs="Times New Roman" w:asciiTheme="minorEastAsia" w:hAnsiTheme="minorEastAsia" w:eastAsiaTheme="minorEastAsia"/>
                <w:b/>
                <w:sz w:val="22"/>
                <w:szCs w:val="21"/>
              </w:rPr>
              <w:t>开关</w:t>
            </w:r>
            <w:r>
              <w:rPr>
                <w:rFonts w:hint="eastAsia" w:cs="Times New Roman" w:asciiTheme="minorEastAsia" w:hAnsiTheme="minorEastAsia" w:eastAsiaTheme="minorEastAsia"/>
                <w:b/>
                <w:sz w:val="22"/>
                <w:szCs w:val="21"/>
              </w:rPr>
              <w:t>、</w:t>
            </w:r>
            <w:r>
              <w:rPr>
                <w:rFonts w:cs="Times New Roman" w:asciiTheme="minorEastAsia" w:hAnsiTheme="minorEastAsia" w:eastAsiaTheme="minorEastAsia"/>
                <w:b/>
                <w:sz w:val="22"/>
                <w:szCs w:val="21"/>
              </w:rPr>
              <w:t>阀门应处于正确位置</w:t>
            </w:r>
            <w:r>
              <w:rPr>
                <w:rFonts w:hint="eastAsia" w:cs="Times New Roman" w:asciiTheme="minorEastAsia" w:hAnsiTheme="minorEastAsia" w:eastAsiaTheme="minorEastAsia"/>
                <w:b/>
                <w:sz w:val="22"/>
                <w:szCs w:val="21"/>
              </w:rPr>
              <w:t>；</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5</w:t>
            </w:r>
            <w:r>
              <w:rPr>
                <w:rFonts w:cs="Times New Roman" w:asciiTheme="minorEastAsia" w:hAnsiTheme="minorEastAsia" w:eastAsiaTheme="minorEastAsia"/>
                <w:b/>
                <w:sz w:val="22"/>
                <w:szCs w:val="21"/>
              </w:rPr>
              <w:t>.电气设备应按规定接地</w:t>
            </w:r>
            <w:r>
              <w:rPr>
                <w:rFonts w:hint="eastAsia" w:cs="Times New Roman" w:asciiTheme="minorEastAsia" w:hAnsiTheme="minorEastAsia" w:eastAsiaTheme="minorEastAsia"/>
                <w:b/>
                <w:sz w:val="22"/>
                <w:szCs w:val="21"/>
              </w:rPr>
              <w:t>。</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6</w:t>
            </w:r>
            <w:r>
              <w:rPr>
                <w:rFonts w:hint="eastAsia" w:cs="Times New Roman" w:asciiTheme="minorEastAsia" w:hAnsiTheme="minorEastAsia" w:eastAsiaTheme="minorEastAsia"/>
                <w:b/>
                <w:sz w:val="22"/>
                <w:szCs w:val="21"/>
              </w:rPr>
              <w:t>.定期维保检修设备，按规定启动、测试水泵。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责任部门</w:t>
            </w:r>
          </w:p>
        </w:tc>
        <w:tc>
          <w:tcPr>
            <w:tcW w:w="1463" w:type="pct"/>
            <w:tcBorders>
              <w:top w:val="single" w:color="auto" w:sz="6" w:space="0"/>
            </w:tcBorders>
            <w:shd w:val="clear" w:color="auto" w:fill="auto"/>
            <w:vAlign w:val="center"/>
          </w:tcPr>
          <w:p>
            <w:pPr>
              <w:spacing w:after="0" w:line="240" w:lineRule="auto"/>
              <w:ind w:left="0" w:firstLine="0"/>
              <w:rPr>
                <w:rFonts w:cs="Times New Roman" w:asciiTheme="minorEastAsia" w:hAnsiTheme="minorEastAsia" w:eastAsiaTheme="minorEastAsia"/>
                <w:b/>
                <w:szCs w:val="24"/>
              </w:rPr>
            </w:pPr>
          </w:p>
        </w:tc>
        <w:tc>
          <w:tcPr>
            <w:tcW w:w="438" w:type="pct"/>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应急处置措施</w:t>
            </w:r>
          </w:p>
        </w:tc>
        <w:tc>
          <w:tcPr>
            <w:tcW w:w="2301" w:type="pct"/>
            <w:vMerge w:val="restart"/>
            <w:tcBorders>
              <w:top w:val="single" w:color="auto" w:sz="6" w:space="0"/>
            </w:tcBorders>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1.火灾时，应迅速启动消防泵，</w:t>
            </w:r>
            <w:r>
              <w:rPr>
                <w:rFonts w:cs="Times New Roman" w:asciiTheme="minorEastAsia" w:hAnsiTheme="minorEastAsia" w:eastAsiaTheme="minorEastAsia"/>
                <w:b/>
                <w:sz w:val="22"/>
                <w:szCs w:val="21"/>
              </w:rPr>
              <w:t>无法启动时</w:t>
            </w:r>
            <w:r>
              <w:rPr>
                <w:rFonts w:hint="eastAsia" w:cs="Times New Roman" w:asciiTheme="minorEastAsia" w:hAnsiTheme="minorEastAsia" w:eastAsiaTheme="minorEastAsia"/>
                <w:b/>
                <w:sz w:val="22"/>
                <w:szCs w:val="21"/>
              </w:rPr>
              <w:t>，</w:t>
            </w:r>
            <w:r>
              <w:rPr>
                <w:rFonts w:cs="Times New Roman" w:asciiTheme="minorEastAsia" w:hAnsiTheme="minorEastAsia" w:eastAsiaTheme="minorEastAsia"/>
                <w:b/>
                <w:sz w:val="22"/>
                <w:szCs w:val="21"/>
              </w:rPr>
              <w:t>应查明原因</w:t>
            </w:r>
            <w:r>
              <w:rPr>
                <w:rFonts w:hint="eastAsia" w:cs="Times New Roman" w:asciiTheme="minorEastAsia" w:hAnsiTheme="minorEastAsia" w:eastAsiaTheme="minorEastAsia"/>
                <w:b/>
                <w:sz w:val="22"/>
                <w:szCs w:val="21"/>
              </w:rPr>
              <w:t>重新启动，联系专业维保单位。</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w:t>
            </w:r>
            <w:r>
              <w:rPr>
                <w:rFonts w:cs="Times New Roman" w:asciiTheme="minorEastAsia" w:hAnsiTheme="minorEastAsia" w:eastAsiaTheme="minorEastAsia"/>
                <w:b/>
                <w:sz w:val="22"/>
                <w:szCs w:val="21"/>
              </w:rPr>
              <w:t>.</w:t>
            </w:r>
            <w:r>
              <w:rPr>
                <w:rFonts w:hint="eastAsia" w:cs="Times New Roman" w:asciiTheme="minorEastAsia" w:hAnsiTheme="minorEastAsia" w:eastAsiaTheme="minorEastAsia"/>
                <w:b/>
                <w:sz w:val="22"/>
                <w:szCs w:val="21"/>
              </w:rPr>
              <w:t>触电时应</w:t>
            </w:r>
            <w:r>
              <w:rPr>
                <w:rFonts w:cs="Times New Roman" w:asciiTheme="minorEastAsia" w:hAnsiTheme="minorEastAsia" w:eastAsiaTheme="minorEastAsia"/>
                <w:b/>
                <w:sz w:val="22"/>
                <w:szCs w:val="21"/>
              </w:rPr>
              <w:t>迅速切断电源，或者用绝缘物体挑开电线或带电物体，使伤者尽快脱离电源</w:t>
            </w:r>
            <w:r>
              <w:rPr>
                <w:rFonts w:hint="eastAsia" w:cs="Times New Roman" w:asciiTheme="minorEastAsia" w:hAnsiTheme="minorEastAsia" w:eastAsiaTheme="minorEastAsia"/>
                <w:b/>
                <w:sz w:val="22"/>
                <w:szCs w:val="21"/>
              </w:rPr>
              <w:t>，</w:t>
            </w:r>
            <w:r>
              <w:rPr>
                <w:rFonts w:cs="Times New Roman" w:asciiTheme="minorEastAsia" w:hAnsiTheme="minorEastAsia" w:eastAsiaTheme="minorEastAsia"/>
                <w:b/>
                <w:sz w:val="22"/>
                <w:szCs w:val="21"/>
              </w:rPr>
              <w:t>将伤者移至安全地带；</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3.</w:t>
            </w:r>
            <w:r>
              <w:rPr>
                <w:rFonts w:hint="eastAsia" w:cs="Times New Roman" w:asciiTheme="minorEastAsia" w:hAnsiTheme="minorEastAsia" w:eastAsiaTheme="minorEastAsia"/>
                <w:b/>
                <w:sz w:val="22"/>
                <w:szCs w:val="21"/>
              </w:rPr>
              <w:t>按预案及信息报告流程</w:t>
            </w:r>
            <w:r>
              <w:rPr>
                <w:rFonts w:cs="Times New Roman" w:asciiTheme="minorEastAsia" w:hAnsiTheme="minorEastAsia" w:eastAsiaTheme="minorEastAsia"/>
                <w:b/>
                <w:sz w:val="22"/>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责任人</w:t>
            </w:r>
          </w:p>
        </w:tc>
        <w:tc>
          <w:tcPr>
            <w:tcW w:w="1463" w:type="pct"/>
            <w:tcBorders>
              <w:top w:val="single" w:color="auto" w:sz="6" w:space="0"/>
            </w:tcBorders>
            <w:shd w:val="clear" w:color="auto" w:fill="auto"/>
            <w:vAlign w:val="center"/>
          </w:tcPr>
          <w:p>
            <w:pPr>
              <w:spacing w:after="0" w:line="240" w:lineRule="auto"/>
              <w:ind w:left="0" w:firstLine="0"/>
              <w:rPr>
                <w:rFonts w:cs="Times New Roman" w:asciiTheme="minorEastAsia" w:hAnsiTheme="minorEastAsia" w:eastAsiaTheme="minorEastAsia"/>
                <w:b/>
                <w:szCs w:val="24"/>
              </w:rPr>
            </w:pPr>
          </w:p>
        </w:tc>
        <w:tc>
          <w:tcPr>
            <w:tcW w:w="438" w:type="pct"/>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2301" w:type="pct"/>
            <w:vMerge w:val="continue"/>
            <w:shd w:val="clear" w:color="auto" w:fill="auto"/>
            <w:vAlign w:val="center"/>
          </w:tcPr>
          <w:p>
            <w:pPr>
              <w:spacing w:after="0" w:line="240" w:lineRule="auto"/>
              <w:ind w:left="0" w:firstLine="0"/>
              <w:rPr>
                <w:rFonts w:cs="Times New Roman" w:asciiTheme="minorEastAsia" w:hAnsiTheme="minorEastAsia" w:eastAsiaTheme="minorEastAsia"/>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责任人电话</w:t>
            </w:r>
          </w:p>
        </w:tc>
        <w:tc>
          <w:tcPr>
            <w:tcW w:w="1463" w:type="pct"/>
            <w:tcBorders>
              <w:top w:val="single" w:color="auto" w:sz="6" w:space="0"/>
            </w:tcBorders>
            <w:shd w:val="clear" w:color="auto" w:fill="auto"/>
            <w:vAlign w:val="center"/>
          </w:tcPr>
          <w:p>
            <w:pPr>
              <w:spacing w:after="0" w:line="240" w:lineRule="auto"/>
              <w:ind w:left="0" w:firstLine="0"/>
              <w:rPr>
                <w:rFonts w:cs="Times New Roman" w:asciiTheme="minorEastAsia" w:hAnsiTheme="minorEastAsia" w:eastAsiaTheme="minorEastAsia"/>
                <w:b/>
                <w:szCs w:val="24"/>
              </w:rPr>
            </w:pPr>
          </w:p>
        </w:tc>
        <w:tc>
          <w:tcPr>
            <w:tcW w:w="438" w:type="pct"/>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2301" w:type="pct"/>
            <w:vMerge w:val="continue"/>
            <w:shd w:val="clear" w:color="auto" w:fill="auto"/>
            <w:vAlign w:val="center"/>
          </w:tcPr>
          <w:p>
            <w:pPr>
              <w:spacing w:after="0" w:line="240" w:lineRule="auto"/>
              <w:ind w:left="0" w:firstLine="0"/>
              <w:rPr>
                <w:rFonts w:cs="Times New Roman" w:asciiTheme="minorEastAsia" w:hAnsiTheme="minorEastAsia" w:eastAsiaTheme="minorEastAsia"/>
                <w:b/>
                <w:szCs w:val="21"/>
              </w:rPr>
            </w:pPr>
          </w:p>
        </w:tc>
      </w:tr>
    </w:tbl>
    <w:p>
      <w:pPr>
        <w:widowControl w:val="0"/>
        <w:spacing w:after="0" w:line="240" w:lineRule="auto"/>
        <w:ind w:left="0" w:firstLine="0"/>
        <w:rPr>
          <w:rFonts w:cs="Times New Roman" w:asciiTheme="minorEastAsia" w:hAnsiTheme="minorEastAsia" w:eastAsiaTheme="minorEastAsia"/>
          <w:b/>
          <w:sz w:val="21"/>
          <w:szCs w:val="21"/>
        </w:rPr>
      </w:pPr>
    </w:p>
    <w:p>
      <w:pPr>
        <w:spacing w:after="0" w:line="240" w:lineRule="auto"/>
        <w:ind w:left="0" w:firstLine="0"/>
        <w:rPr>
          <w:rFonts w:ascii="宋体" w:hAnsi="宋体" w:eastAsia="宋体" w:cs="Times New Roman"/>
          <w:b/>
          <w:sz w:val="21"/>
          <w:szCs w:val="21"/>
        </w:rPr>
      </w:pPr>
      <w:r>
        <w:rPr>
          <w:rFonts w:ascii="宋体" w:hAnsi="宋体" w:eastAsia="宋体" w:cs="Times New Roman"/>
          <w:b/>
          <w:sz w:val="21"/>
          <w:szCs w:val="21"/>
        </w:rPr>
        <w:br w:type="page"/>
      </w:r>
    </w:p>
    <w:p>
      <w:pPr>
        <w:widowControl w:val="0"/>
        <w:spacing w:after="0" w:line="360" w:lineRule="exact"/>
        <w:ind w:left="0" w:firstLine="0"/>
        <w:rPr>
          <w:rFonts w:ascii="宋体" w:hAnsi="宋体" w:eastAsia="宋体" w:cs="Times New Roman"/>
          <w:b/>
          <w:sz w:val="21"/>
          <w:szCs w:val="21"/>
        </w:rPr>
      </w:pPr>
    </w:p>
    <w:tbl>
      <w:tblPr>
        <w:tblStyle w:val="30"/>
        <w:tblpPr w:leftFromText="180" w:rightFromText="180" w:vertAnchor="text" w:horzAnchor="margin" w:tblpXSpec="center" w:tblpY="19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61" w:type="dxa"/>
            <w:shd w:val="clear" w:color="auto" w:fill="auto"/>
            <w:vAlign w:val="center"/>
          </w:tcPr>
          <w:p>
            <w:pPr>
              <w:spacing w:line="400" w:lineRule="exact"/>
              <w:jc w:val="center"/>
              <w:rPr>
                <w:rFonts w:cs="Times New Roman" w:asciiTheme="minorEastAsia" w:hAnsiTheme="minorEastAsia" w:eastAsiaTheme="minorEastAsia"/>
                <w:b/>
              </w:rPr>
            </w:pPr>
            <w:r>
              <w:rPr>
                <w:rFonts w:cs="Times New Roman" w:asciiTheme="minorEastAsia" w:hAnsiTheme="minorEastAsia" w:eastAsiaTheme="minorEastAsia"/>
                <w:b/>
              </w:rPr>
              <w:t>风险点名称</w:t>
            </w:r>
          </w:p>
        </w:tc>
        <w:tc>
          <w:tcPr>
            <w:tcW w:w="4147" w:type="dxa"/>
            <w:shd w:val="clear" w:color="auto" w:fill="auto"/>
            <w:vAlign w:val="center"/>
          </w:tcPr>
          <w:p>
            <w:pPr>
              <w:spacing w:line="400" w:lineRule="exact"/>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污</w:t>
            </w:r>
            <w:r>
              <w:rPr>
                <w:rFonts w:cs="Times New Roman" w:asciiTheme="minorEastAsia" w:hAnsiTheme="minorEastAsia" w:eastAsiaTheme="minorEastAsia"/>
                <w:b/>
                <w:szCs w:val="24"/>
              </w:rPr>
              <w:t>水泵房</w:t>
            </w:r>
          </w:p>
        </w:tc>
        <w:tc>
          <w:tcPr>
            <w:tcW w:w="1800" w:type="dxa"/>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cs="Times New Roman" w:asciiTheme="minorEastAsia" w:hAnsiTheme="minorEastAsia" w:eastAsiaTheme="minorEastAsia"/>
                <w:b/>
                <w:szCs w:val="24"/>
              </w:rPr>
              <w:t>致险因素描述</w:t>
            </w:r>
          </w:p>
        </w:tc>
        <w:tc>
          <w:tcPr>
            <w:tcW w:w="5966" w:type="dxa"/>
            <w:vMerge w:val="restart"/>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1.电气作业人员未持证上岗；</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2.试验、检维修作业未遵守安全操作规程；</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3.检修工具及劳动防护用品有缺陷；</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4.通风不良。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261" w:type="dxa"/>
            <w:tcBorders>
              <w:bottom w:val="single" w:color="auto" w:sz="4" w:space="0"/>
            </w:tcBorders>
            <w:shd w:val="clear" w:color="auto" w:fill="auto"/>
            <w:vAlign w:val="center"/>
          </w:tcPr>
          <w:p>
            <w:pPr>
              <w:spacing w:line="400" w:lineRule="exact"/>
              <w:jc w:val="center"/>
              <w:rPr>
                <w:rFonts w:cs="Times New Roman" w:asciiTheme="minorEastAsia" w:hAnsiTheme="minorEastAsia" w:eastAsiaTheme="minorEastAsia"/>
                <w:b/>
              </w:rPr>
            </w:pPr>
            <w:r>
              <w:rPr>
                <w:rFonts w:cs="Times New Roman" w:asciiTheme="minorEastAsia" w:hAnsiTheme="minorEastAsia" w:eastAsiaTheme="minorEastAsia"/>
                <w:b/>
              </w:rPr>
              <w:t>风险等级</w:t>
            </w:r>
          </w:p>
        </w:tc>
        <w:tc>
          <w:tcPr>
            <w:tcW w:w="4147" w:type="dxa"/>
            <w:shd w:val="clear" w:color="auto" w:fill="0000FF"/>
            <w:vAlign w:val="center"/>
          </w:tcPr>
          <w:p>
            <w:pPr>
              <w:spacing w:line="400" w:lineRule="exact"/>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color w:val="FFFFFF" w:themeColor="background1"/>
                <w:szCs w:val="24"/>
              </w:rPr>
              <w:t>低风险</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2261" w:type="dxa"/>
            <w:tcBorders>
              <w:bottom w:val="single" w:color="auto" w:sz="4" w:space="0"/>
            </w:tcBorders>
            <w:shd w:val="clear" w:color="auto" w:fill="auto"/>
            <w:vAlign w:val="center"/>
          </w:tcPr>
          <w:p>
            <w:pPr>
              <w:spacing w:line="400" w:lineRule="exact"/>
              <w:jc w:val="center"/>
              <w:rPr>
                <w:rFonts w:cs="Times New Roman" w:asciiTheme="minorEastAsia" w:hAnsiTheme="minorEastAsia" w:eastAsiaTheme="minorEastAsia"/>
                <w:b/>
              </w:rPr>
            </w:pPr>
            <w:r>
              <w:rPr>
                <w:rFonts w:cs="Times New Roman" w:asciiTheme="minorEastAsia" w:hAnsiTheme="minorEastAsia" w:eastAsiaTheme="minorEastAsia"/>
                <w:b/>
              </w:rPr>
              <w:t>事故类型</w:t>
            </w:r>
          </w:p>
        </w:tc>
        <w:tc>
          <w:tcPr>
            <w:tcW w:w="4147" w:type="dxa"/>
            <w:shd w:val="clear" w:color="auto" w:fill="auto"/>
            <w:vAlign w:val="center"/>
          </w:tcPr>
          <w:p>
            <w:pPr>
              <w:spacing w:line="400" w:lineRule="exact"/>
              <w:jc w:val="center"/>
              <w:rPr>
                <w:rFonts w:cs="Times New Roman" w:asciiTheme="minorEastAsia" w:hAnsiTheme="minorEastAsia" w:eastAsiaTheme="minorEastAsia"/>
                <w:b/>
                <w:szCs w:val="24"/>
              </w:rPr>
            </w:pPr>
            <w:r>
              <w:rPr>
                <w:rFonts w:cs="Times New Roman" w:asciiTheme="minorEastAsia" w:hAnsiTheme="minorEastAsia" w:eastAsiaTheme="minorEastAsia"/>
                <w:b/>
                <w:szCs w:val="24"/>
              </w:rPr>
              <w:t>触电 中毒窒息 机械伤害</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6408" w:type="dxa"/>
            <w:gridSpan w:val="2"/>
            <w:tcBorders>
              <w:bottom w:val="single" w:color="auto" w:sz="6" w:space="0"/>
            </w:tcBorders>
            <w:shd w:val="clear" w:color="auto" w:fill="auto"/>
            <w:vAlign w:val="center"/>
          </w:tcPr>
          <w:p>
            <w:pPr>
              <w:widowControl w:val="0"/>
              <w:spacing w:after="0" w:line="360" w:lineRule="exact"/>
              <w:ind w:left="0" w:firstLine="0"/>
              <w:jc w:val="center"/>
              <w:rPr>
                <w:rFonts w:ascii="宋体" w:hAnsi="宋体" w:eastAsia="宋体" w:cs="Times New Roman"/>
                <w:b/>
                <w:sz w:val="21"/>
                <w:szCs w:val="21"/>
              </w:rPr>
            </w:pPr>
            <w:r>
              <w:rPr>
                <w:rFonts w:hint="eastAsia" w:ascii="宋体" w:hAnsi="宋体" w:eastAsia="宋体" w:cs="Times New Roman"/>
                <w:b/>
                <w:sz w:val="21"/>
                <w:szCs w:val="21"/>
              </w:rPr>
              <w:t>安全标志</w:t>
            </w:r>
          </w:p>
          <w:p>
            <w:pPr>
              <w:spacing w:line="360" w:lineRule="auto"/>
              <w:jc w:val="center"/>
              <w:rPr>
                <w:rFonts w:ascii="Times New Roman" w:hAnsi="Times New Roman" w:eastAsia="宋体" w:cs="Times New Roman"/>
                <w:b/>
                <w:szCs w:val="24"/>
              </w:rPr>
            </w:pPr>
            <w:r>
              <w:rPr>
                <w:rFonts w:ascii="Times New Roman" w:hAnsi="Times New Roman" w:eastAsia="宋体" w:cs="Times New Roman"/>
                <w:szCs w:val="24"/>
              </w:rPr>
              <w:drawing>
                <wp:inline distT="0" distB="0" distL="0" distR="0">
                  <wp:extent cx="979805" cy="1175385"/>
                  <wp:effectExtent l="0" t="0" r="0" b="57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979805" cy="1175385"/>
                          </a:xfrm>
                          <a:prstGeom prst="rect">
                            <a:avLst/>
                          </a:prstGeom>
                          <a:noFill/>
                          <a:ln>
                            <a:noFill/>
                          </a:ln>
                        </pic:spPr>
                      </pic:pic>
                    </a:graphicData>
                  </a:graphic>
                </wp:inline>
              </w:drawing>
            </w:r>
            <w:r>
              <w:rPr>
                <w:rFonts w:ascii="Times New Roman" w:hAnsi="Times New Roman" w:eastAsia="宋体" w:cs="Times New Roman"/>
                <w:b/>
                <w:szCs w:val="24"/>
              </w:rPr>
              <w:t xml:space="preserve"> </w:t>
            </w:r>
            <w:r>
              <w:drawing>
                <wp:inline distT="0" distB="0" distL="0" distR="0">
                  <wp:extent cx="929640" cy="1208405"/>
                  <wp:effectExtent l="0" t="0" r="381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32" cstate="print"/>
                          <a:stretch>
                            <a:fillRect/>
                          </a:stretch>
                        </pic:blipFill>
                        <pic:spPr>
                          <a:xfrm>
                            <a:off x="0" y="0"/>
                            <a:ext cx="948109" cy="1232542"/>
                          </a:xfrm>
                          <a:prstGeom prst="rect">
                            <a:avLst/>
                          </a:prstGeom>
                        </pic:spPr>
                      </pic:pic>
                    </a:graphicData>
                  </a:graphic>
                </wp:inline>
              </w:drawing>
            </w:r>
            <w:r>
              <w:rPr>
                <w:rFonts w:ascii="Times New Roman" w:hAnsi="Times New Roman" w:eastAsia="宋体" w:cs="Times New Roman"/>
                <w:szCs w:val="24"/>
              </w:rPr>
              <w:drawing>
                <wp:inline distT="0" distB="0" distL="0" distR="0">
                  <wp:extent cx="914400" cy="1175385"/>
                  <wp:effectExtent l="0" t="0" r="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914400" cy="1175385"/>
                          </a:xfrm>
                          <a:prstGeom prst="rect">
                            <a:avLst/>
                          </a:prstGeom>
                          <a:noFill/>
                          <a:ln>
                            <a:noFill/>
                          </a:ln>
                        </pic:spPr>
                      </pic:pic>
                    </a:graphicData>
                  </a:graphic>
                </wp:inline>
              </w:drawing>
            </w:r>
            <w:r>
              <w:rPr>
                <w:rFonts w:ascii="Times New Roman" w:hAnsi="Times New Roman" w:eastAsia="宋体" w:cs="Times New Roman"/>
                <w:b/>
                <w:szCs w:val="24"/>
              </w:rPr>
              <w:t xml:space="preserve"> </w:t>
            </w:r>
          </w:p>
        </w:tc>
        <w:tc>
          <w:tcPr>
            <w:tcW w:w="1800" w:type="dxa"/>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cs="Times New Roman" w:asciiTheme="minorEastAsia" w:hAnsiTheme="minorEastAsia" w:eastAsiaTheme="minorEastAsia"/>
                <w:b/>
                <w:szCs w:val="24"/>
              </w:rPr>
              <w:t>风险管控措施</w:t>
            </w:r>
          </w:p>
        </w:tc>
        <w:tc>
          <w:tcPr>
            <w:tcW w:w="5966" w:type="dxa"/>
            <w:tcBorders>
              <w:bottom w:val="single" w:color="auto" w:sz="4" w:space="0"/>
            </w:tcBorders>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1.电气作业人员必须持证上岗；</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2.作业人员须接受岗前安全教育，熟知岗位危险源及防范措施；</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3.检修工具及劳动防护用品应合格且在检验有效期内；</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4.污水泵房应确保通风良好。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61" w:type="dxa"/>
            <w:tcBorders>
              <w:top w:val="single" w:color="auto" w:sz="6" w:space="0"/>
            </w:tcBorders>
            <w:shd w:val="clear" w:color="auto" w:fill="auto"/>
            <w:vAlign w:val="center"/>
          </w:tcPr>
          <w:p>
            <w:pPr>
              <w:spacing w:line="400" w:lineRule="exact"/>
              <w:jc w:val="center"/>
              <w:rPr>
                <w:rFonts w:cs="Times New Roman" w:asciiTheme="minorEastAsia" w:hAnsiTheme="minorEastAsia" w:eastAsiaTheme="minorEastAsia"/>
                <w:b/>
              </w:rPr>
            </w:pPr>
            <w:r>
              <w:rPr>
                <w:rFonts w:cs="Times New Roman" w:asciiTheme="minorEastAsia" w:hAnsiTheme="minorEastAsia" w:eastAsiaTheme="minorEastAsia"/>
                <w:b/>
              </w:rPr>
              <w:t>责任部门</w:t>
            </w:r>
          </w:p>
        </w:tc>
        <w:tc>
          <w:tcPr>
            <w:tcW w:w="4147" w:type="dxa"/>
            <w:tcBorders>
              <w:top w:val="single" w:color="auto" w:sz="6" w:space="0"/>
            </w:tcBorders>
            <w:shd w:val="clear" w:color="auto" w:fill="auto"/>
            <w:vAlign w:val="center"/>
          </w:tcPr>
          <w:p>
            <w:pPr>
              <w:jc w:val="center"/>
              <w:rPr>
                <w:rFonts w:ascii="Times New Roman" w:hAnsi="Times New Roman" w:eastAsia="宋体" w:cs="Times New Roman"/>
                <w:b/>
              </w:rPr>
            </w:pPr>
          </w:p>
        </w:tc>
        <w:tc>
          <w:tcPr>
            <w:tcW w:w="1800" w:type="dxa"/>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cs="Times New Roman" w:asciiTheme="minorEastAsia" w:hAnsiTheme="minorEastAsia" w:eastAsiaTheme="minorEastAsia"/>
                <w:b/>
                <w:szCs w:val="24"/>
              </w:rPr>
              <w:t>应急处置措施</w:t>
            </w:r>
          </w:p>
        </w:tc>
        <w:tc>
          <w:tcPr>
            <w:tcW w:w="5966" w:type="dxa"/>
            <w:vMerge w:val="restart"/>
            <w:tcBorders>
              <w:top w:val="single" w:color="auto" w:sz="6" w:space="0"/>
            </w:tcBorders>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1.触电时应迅速切断电源，或者用绝缘物体挑开电线或带电物体，使伤者尽快脱离电源，将伤者移至安全地带；</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2.有人员发生中毒窒息后，应先通风、佩戴好防护用品后方可进入，不得盲目施救；</w:t>
            </w:r>
          </w:p>
          <w:p>
            <w:pPr>
              <w:spacing w:after="0" w:line="360" w:lineRule="exact"/>
              <w:ind w:left="0" w:firstLine="0"/>
              <w:rPr>
                <w:rFonts w:cs="Times New Roman" w:asciiTheme="minorEastAsia" w:hAnsiTheme="minorEastAsia" w:eastAsiaTheme="minorEastAsia"/>
                <w:b/>
                <w:sz w:val="22"/>
                <w:szCs w:val="21"/>
              </w:rPr>
            </w:pPr>
            <w:r>
              <w:rPr>
                <w:rFonts w:cs="Times New Roman" w:asciiTheme="minorEastAsia" w:hAnsiTheme="minorEastAsia" w:eastAsiaTheme="minorEastAsia"/>
                <w:b/>
                <w:sz w:val="22"/>
                <w:szCs w:val="21"/>
              </w:rPr>
              <w:t>3.按预案及信息报告流程向上级报告，拨打120等急救电话。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61" w:type="dxa"/>
            <w:tcBorders>
              <w:top w:val="single" w:color="auto" w:sz="6" w:space="0"/>
            </w:tcBorders>
            <w:shd w:val="clear" w:color="auto" w:fill="auto"/>
            <w:vAlign w:val="center"/>
          </w:tcPr>
          <w:p>
            <w:pPr>
              <w:spacing w:line="400" w:lineRule="exact"/>
              <w:jc w:val="center"/>
              <w:rPr>
                <w:rFonts w:cs="Times New Roman" w:asciiTheme="minorEastAsia" w:hAnsiTheme="minorEastAsia" w:eastAsiaTheme="minorEastAsia"/>
                <w:b/>
              </w:rPr>
            </w:pPr>
            <w:r>
              <w:rPr>
                <w:rFonts w:cs="Times New Roman" w:asciiTheme="minorEastAsia" w:hAnsiTheme="minorEastAsia" w:eastAsiaTheme="minorEastAsia"/>
                <w:b/>
              </w:rPr>
              <w:t>责任人</w:t>
            </w:r>
          </w:p>
        </w:tc>
        <w:tc>
          <w:tcPr>
            <w:tcW w:w="4147" w:type="dxa"/>
            <w:tcBorders>
              <w:top w:val="single" w:color="auto" w:sz="6" w:space="0"/>
            </w:tcBorders>
            <w:shd w:val="clear" w:color="auto" w:fill="auto"/>
            <w:vAlign w:val="center"/>
          </w:tcPr>
          <w:p>
            <w:pPr>
              <w:jc w:val="center"/>
              <w:rPr>
                <w:rFonts w:ascii="Times New Roman" w:hAnsi="Times New Roman" w:eastAsia="宋体" w:cs="Times New Roman"/>
                <w:b/>
              </w:rPr>
            </w:pPr>
          </w:p>
        </w:tc>
        <w:tc>
          <w:tcPr>
            <w:tcW w:w="1800" w:type="dxa"/>
            <w:vMerge w:val="continue"/>
            <w:shd w:val="clear" w:color="auto" w:fill="auto"/>
            <w:vAlign w:val="center"/>
          </w:tcPr>
          <w:p>
            <w:pPr>
              <w:spacing w:line="360" w:lineRule="auto"/>
              <w:jc w:val="center"/>
              <w:rPr>
                <w:rFonts w:ascii="Times New Roman" w:hAnsi="Times New Roman" w:eastAsia="宋体" w:cs="Times New Roman"/>
                <w:b/>
                <w:szCs w:val="24"/>
              </w:rPr>
            </w:pPr>
          </w:p>
        </w:tc>
        <w:tc>
          <w:tcPr>
            <w:tcW w:w="5966" w:type="dxa"/>
            <w:vMerge w:val="continue"/>
            <w:shd w:val="clear" w:color="auto" w:fill="auto"/>
            <w:vAlign w:val="center"/>
          </w:tcPr>
          <w:p>
            <w:pPr>
              <w:spacing w:line="360" w:lineRule="auto"/>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2261" w:type="dxa"/>
            <w:tcBorders>
              <w:top w:val="single" w:color="auto" w:sz="6" w:space="0"/>
            </w:tcBorders>
            <w:shd w:val="clear" w:color="auto" w:fill="auto"/>
            <w:vAlign w:val="center"/>
          </w:tcPr>
          <w:p>
            <w:pPr>
              <w:spacing w:line="400" w:lineRule="exact"/>
              <w:jc w:val="center"/>
              <w:rPr>
                <w:rFonts w:cs="Times New Roman" w:asciiTheme="minorEastAsia" w:hAnsiTheme="minorEastAsia" w:eastAsiaTheme="minorEastAsia"/>
                <w:b/>
              </w:rPr>
            </w:pPr>
            <w:r>
              <w:rPr>
                <w:rFonts w:cs="Times New Roman" w:asciiTheme="minorEastAsia" w:hAnsiTheme="minorEastAsia" w:eastAsiaTheme="minorEastAsia"/>
                <w:b/>
              </w:rPr>
              <w:t>责任人电话</w:t>
            </w:r>
          </w:p>
        </w:tc>
        <w:tc>
          <w:tcPr>
            <w:tcW w:w="4147" w:type="dxa"/>
            <w:tcBorders>
              <w:top w:val="single" w:color="auto" w:sz="6" w:space="0"/>
            </w:tcBorders>
            <w:shd w:val="clear" w:color="auto" w:fill="auto"/>
            <w:vAlign w:val="center"/>
          </w:tcPr>
          <w:p>
            <w:pPr>
              <w:jc w:val="center"/>
              <w:rPr>
                <w:rFonts w:ascii="Times New Roman" w:hAnsi="Times New Roman" w:eastAsia="宋体" w:cs="Times New Roman"/>
                <w:b/>
              </w:rPr>
            </w:pPr>
          </w:p>
        </w:tc>
        <w:tc>
          <w:tcPr>
            <w:tcW w:w="1800" w:type="dxa"/>
            <w:vMerge w:val="continue"/>
            <w:shd w:val="clear" w:color="auto" w:fill="auto"/>
            <w:vAlign w:val="center"/>
          </w:tcPr>
          <w:p>
            <w:pPr>
              <w:spacing w:line="360" w:lineRule="auto"/>
              <w:jc w:val="center"/>
              <w:rPr>
                <w:rFonts w:ascii="Times New Roman" w:hAnsi="Times New Roman" w:eastAsia="宋体" w:cs="Times New Roman"/>
                <w:b/>
                <w:szCs w:val="24"/>
              </w:rPr>
            </w:pPr>
          </w:p>
        </w:tc>
        <w:tc>
          <w:tcPr>
            <w:tcW w:w="5966" w:type="dxa"/>
            <w:vMerge w:val="continue"/>
            <w:shd w:val="clear" w:color="auto" w:fill="auto"/>
            <w:vAlign w:val="center"/>
          </w:tcPr>
          <w:p>
            <w:pPr>
              <w:spacing w:line="360" w:lineRule="auto"/>
              <w:rPr>
                <w:rFonts w:ascii="Times New Roman" w:hAnsi="Times New Roman" w:eastAsia="宋体" w:cs="Times New Roman"/>
                <w:b/>
                <w:szCs w:val="21"/>
              </w:rPr>
            </w:pPr>
          </w:p>
        </w:tc>
      </w:tr>
    </w:tbl>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spacing w:after="0" w:line="240" w:lineRule="auto"/>
        <w:ind w:left="0" w:firstLine="0"/>
        <w:rPr>
          <w:rFonts w:ascii="宋体" w:hAnsi="宋体" w:eastAsia="宋体" w:cs="Times New Roman"/>
          <w:b/>
          <w:sz w:val="21"/>
          <w:szCs w:val="21"/>
        </w:rPr>
      </w:pPr>
      <w:r>
        <w:rPr>
          <w:rFonts w:ascii="宋体" w:hAnsi="宋体" w:eastAsia="宋体" w:cs="Times New Roman"/>
          <w:b/>
          <w:sz w:val="21"/>
          <w:szCs w:val="21"/>
        </w:rPr>
        <w:br w:type="page"/>
      </w:r>
    </w:p>
    <w:tbl>
      <w:tblPr>
        <w:tblStyle w:val="30"/>
        <w:tblpPr w:leftFromText="180" w:rightFromText="180" w:vertAnchor="text" w:horzAnchor="margin" w:tblpXSpec="center" w:tblpY="19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1"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风险点名称</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水泵房</w:t>
            </w:r>
          </w:p>
        </w:tc>
        <w:tc>
          <w:tcPr>
            <w:tcW w:w="1800" w:type="dxa"/>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致险因素描述</w:t>
            </w:r>
          </w:p>
        </w:tc>
        <w:tc>
          <w:tcPr>
            <w:tcW w:w="5966" w:type="dxa"/>
            <w:vMerge w:val="restart"/>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1.电气作业人员未持证上岗；</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2.试验、检维修作业未遵守安全操作规程；</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3.检修工具及劳动防护用品有缺陷；</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4.通风不良。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风险等级</w:t>
            </w:r>
          </w:p>
        </w:tc>
        <w:tc>
          <w:tcPr>
            <w:tcW w:w="4147" w:type="dxa"/>
            <w:shd w:val="clear" w:color="auto" w:fill="FAE600"/>
            <w:vAlign w:val="center"/>
          </w:tcPr>
          <w:p>
            <w:pPr>
              <w:spacing w:after="0" w:line="400" w:lineRule="exact"/>
              <w:ind w:left="0"/>
              <w:jc w:val="center"/>
              <w:rPr>
                <w:rFonts w:cs="Times New Roman" w:asciiTheme="minorEastAsia" w:hAnsiTheme="minorEastAsia" w:eastAsiaTheme="minorEastAsia"/>
                <w:b/>
              </w:rPr>
            </w:pPr>
            <w:r>
              <w:rPr>
                <w:rFonts w:cs="Times New Roman" w:asciiTheme="minorEastAsia" w:hAnsiTheme="minorEastAsia" w:eastAsiaTheme="minorEastAsia"/>
                <w:b/>
              </w:rPr>
              <w:t>一般风险</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事故类型</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触电 中毒窒息 机械伤害</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6408" w:type="dxa"/>
            <w:gridSpan w:val="2"/>
            <w:tcBorders>
              <w:bottom w:val="single" w:color="auto" w:sz="6" w:space="0"/>
            </w:tcBorders>
            <w:shd w:val="clear" w:color="auto" w:fill="auto"/>
            <w:vAlign w:val="center"/>
          </w:tcPr>
          <w:p>
            <w:pPr>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安全标志</w:t>
            </w:r>
          </w:p>
          <w:p>
            <w:pPr>
              <w:spacing w:after="0" w:line="360" w:lineRule="auto"/>
              <w:ind w:left="0"/>
              <w:jc w:val="center"/>
              <w:rPr>
                <w:rFonts w:ascii="宋体" w:hAnsi="宋体" w:eastAsia="宋体" w:cs="Times New Roman"/>
                <w:b/>
                <w:szCs w:val="24"/>
              </w:rPr>
            </w:pPr>
            <w:r>
              <w:rPr>
                <w:rFonts w:ascii="宋体" w:hAnsi="宋体" w:eastAsia="宋体" w:cs="Times New Roman"/>
                <w:szCs w:val="24"/>
              </w:rPr>
              <w:drawing>
                <wp:inline distT="0" distB="0" distL="0" distR="0">
                  <wp:extent cx="956945" cy="119062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956945" cy="1190625"/>
                          </a:xfrm>
                          <a:prstGeom prst="rect">
                            <a:avLst/>
                          </a:prstGeom>
                          <a:noFill/>
                          <a:ln>
                            <a:noFill/>
                          </a:ln>
                        </pic:spPr>
                      </pic:pic>
                    </a:graphicData>
                  </a:graphic>
                </wp:inline>
              </w:drawing>
            </w:r>
            <w:r>
              <w:rPr>
                <w:rFonts w:hint="eastAsia" w:ascii="宋体" w:hAnsi="宋体" w:eastAsia="宋体" w:cs="Times New Roman"/>
                <w:b/>
                <w:szCs w:val="24"/>
              </w:rPr>
              <w:t xml:space="preserve"> </w:t>
            </w:r>
            <w:r>
              <w:rPr>
                <w:rFonts w:ascii="宋体" w:hAnsi="宋体" w:eastAsia="宋体" w:cs="Times New Roman"/>
                <w:szCs w:val="24"/>
              </w:rPr>
              <w:drawing>
                <wp:inline distT="0" distB="0" distL="0" distR="0">
                  <wp:extent cx="946150" cy="1190625"/>
                  <wp:effectExtent l="0" t="0" r="6350"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946150" cy="1190625"/>
                          </a:xfrm>
                          <a:prstGeom prst="rect">
                            <a:avLst/>
                          </a:prstGeom>
                          <a:noFill/>
                          <a:ln>
                            <a:noFill/>
                          </a:ln>
                        </pic:spPr>
                      </pic:pic>
                    </a:graphicData>
                  </a:graphic>
                </wp:inline>
              </w:drawing>
            </w:r>
            <w:r>
              <w:rPr>
                <w:rFonts w:hint="eastAsia" w:ascii="宋体" w:hAnsi="宋体" w:eastAsia="宋体" w:cs="Times New Roman"/>
                <w:b/>
                <w:szCs w:val="24"/>
              </w:rPr>
              <w:t xml:space="preserve"> </w:t>
            </w:r>
            <w:r>
              <w:rPr>
                <w:rFonts w:ascii="宋体" w:hAnsi="宋体" w:eastAsia="宋体"/>
              </w:rPr>
              <w:drawing>
                <wp:inline distT="0" distB="0" distL="0" distR="0">
                  <wp:extent cx="925195" cy="1190625"/>
                  <wp:effectExtent l="0" t="0" r="825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925195" cy="1190625"/>
                          </a:xfrm>
                          <a:prstGeom prst="rect">
                            <a:avLst/>
                          </a:prstGeom>
                          <a:noFill/>
                          <a:ln>
                            <a:noFill/>
                          </a:ln>
                        </pic:spPr>
                      </pic:pic>
                    </a:graphicData>
                  </a:graphic>
                </wp:inline>
              </w:drawing>
            </w:r>
          </w:p>
        </w:tc>
        <w:tc>
          <w:tcPr>
            <w:tcW w:w="1800" w:type="dxa"/>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风险管控措施</w:t>
            </w:r>
          </w:p>
        </w:tc>
        <w:tc>
          <w:tcPr>
            <w:tcW w:w="5966" w:type="dxa"/>
            <w:tcBorders>
              <w:bottom w:val="single" w:color="auto" w:sz="4" w:space="0"/>
            </w:tcBorders>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1.电气作业人员必须持证上岗；</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2.作业人员须接受岗前安全教育，熟知岗位危险源及防范措施；</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3.检修工具及劳动防护用品应合格，且在检验有效期内；</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4.污水泵房应确保通风良好。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责任部门</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应急处置措施</w:t>
            </w:r>
          </w:p>
        </w:tc>
        <w:tc>
          <w:tcPr>
            <w:tcW w:w="5966" w:type="dxa"/>
            <w:vMerge w:val="restart"/>
            <w:tcBorders>
              <w:top w:val="single" w:color="auto" w:sz="6" w:space="0"/>
            </w:tcBorders>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1.触电时应</w:t>
            </w:r>
            <w:r>
              <w:rPr>
                <w:rFonts w:cs="Times New Roman" w:asciiTheme="minorEastAsia" w:hAnsiTheme="minorEastAsia" w:eastAsiaTheme="minorEastAsia"/>
                <w:b/>
                <w:sz w:val="22"/>
                <w:szCs w:val="21"/>
              </w:rPr>
              <w:t>迅速切断电源，或者用绝缘物体挑开电线或带电物体，使伤者尽快脱离电源</w:t>
            </w:r>
            <w:r>
              <w:rPr>
                <w:rFonts w:hint="eastAsia" w:cs="Times New Roman" w:asciiTheme="minorEastAsia" w:hAnsiTheme="minorEastAsia" w:eastAsiaTheme="minorEastAsia"/>
                <w:b/>
                <w:sz w:val="22"/>
                <w:szCs w:val="21"/>
              </w:rPr>
              <w:t>，</w:t>
            </w:r>
            <w:r>
              <w:rPr>
                <w:rFonts w:cs="Times New Roman" w:asciiTheme="minorEastAsia" w:hAnsiTheme="minorEastAsia" w:eastAsiaTheme="minorEastAsia"/>
                <w:b/>
                <w:sz w:val="22"/>
                <w:szCs w:val="21"/>
              </w:rPr>
              <w:t>将伤者移至安全地带；</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2.有人员发生中毒窒息后，应先通风、佩戴好防护用品后方可进入，不得盲目施救</w:t>
            </w:r>
            <w:r>
              <w:rPr>
                <w:rFonts w:cs="Times New Roman" w:asciiTheme="minorEastAsia" w:hAnsiTheme="minorEastAsia" w:eastAsiaTheme="minorEastAsia"/>
                <w:b/>
                <w:sz w:val="22"/>
                <w:szCs w:val="21"/>
              </w:rPr>
              <w:t>；</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3.按预案及信息报告流程</w:t>
            </w:r>
            <w:r>
              <w:rPr>
                <w:rFonts w:cs="Times New Roman" w:asciiTheme="minorEastAsia" w:hAnsiTheme="minorEastAsia" w:eastAsiaTheme="minorEastAsia"/>
                <w:b/>
                <w:sz w:val="22"/>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责任人</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责任人电话</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szCs w:val="21"/>
              </w:rPr>
            </w:pPr>
          </w:p>
        </w:tc>
      </w:tr>
    </w:tbl>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spacing w:after="0" w:line="240" w:lineRule="auto"/>
        <w:ind w:left="0" w:firstLine="0"/>
        <w:rPr>
          <w:rFonts w:ascii="宋体" w:hAnsi="宋体" w:eastAsia="宋体" w:cs="Times New Roman"/>
          <w:b/>
          <w:sz w:val="21"/>
          <w:szCs w:val="21"/>
        </w:rPr>
      </w:pPr>
      <w:r>
        <w:rPr>
          <w:rFonts w:ascii="宋体" w:hAnsi="宋体" w:eastAsia="宋体" w:cs="Times New Roman"/>
          <w:b/>
          <w:sz w:val="21"/>
          <w:szCs w:val="21"/>
        </w:rPr>
        <w:br w:type="page"/>
      </w: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tbl>
      <w:tblPr>
        <w:tblStyle w:val="30"/>
        <w:tblpPr w:leftFromText="180" w:rightFromText="180" w:vertAnchor="text" w:horzAnchor="margin" w:tblpXSpec="center" w:tblpY="19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风险点名称</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空调机房</w:t>
            </w:r>
          </w:p>
        </w:tc>
        <w:tc>
          <w:tcPr>
            <w:tcW w:w="1800" w:type="dxa"/>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致险因素描述</w:t>
            </w:r>
          </w:p>
        </w:tc>
        <w:tc>
          <w:tcPr>
            <w:tcW w:w="5966" w:type="dxa"/>
            <w:vMerge w:val="restart"/>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1.电气作业人员未持证上岗；</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2.试验、检维修作业未遵守安全操作规程；</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3.管道阀门漏水、地面湿滑。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风险等级</w:t>
            </w:r>
          </w:p>
        </w:tc>
        <w:tc>
          <w:tcPr>
            <w:tcW w:w="4147" w:type="dxa"/>
            <w:shd w:val="clear" w:color="auto" w:fill="3764FF"/>
            <w:vAlign w:val="center"/>
          </w:tcPr>
          <w:p>
            <w:pPr>
              <w:spacing w:after="0" w:line="400" w:lineRule="exact"/>
              <w:ind w:left="0"/>
              <w:jc w:val="center"/>
              <w:rPr>
                <w:rFonts w:cs="Times New Roman" w:asciiTheme="minorEastAsia" w:hAnsiTheme="minorEastAsia" w:eastAsiaTheme="minorEastAsia"/>
                <w:b/>
                <w:color w:val="FFFFFF" w:themeColor="background1"/>
              </w:rPr>
            </w:pPr>
            <w:r>
              <w:rPr>
                <w:rFonts w:hint="eastAsia" w:cs="Times New Roman" w:asciiTheme="minorEastAsia" w:hAnsiTheme="minorEastAsia" w:eastAsiaTheme="minorEastAsia"/>
                <w:b/>
                <w:color w:val="FFFFFF" w:themeColor="background1"/>
              </w:rPr>
              <w:t>低</w:t>
            </w:r>
            <w:r>
              <w:rPr>
                <w:rFonts w:cs="Times New Roman" w:asciiTheme="minorEastAsia" w:hAnsiTheme="minorEastAsia" w:eastAsiaTheme="minorEastAsia"/>
                <w:b/>
                <w:color w:val="FFFFFF" w:themeColor="background1"/>
              </w:rPr>
              <w:t>风险</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事故类型</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触电 机械伤害 跌伤</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408" w:type="dxa"/>
            <w:gridSpan w:val="2"/>
            <w:tcBorders>
              <w:bottom w:val="single" w:color="auto" w:sz="6" w:space="0"/>
            </w:tcBorders>
            <w:shd w:val="clear" w:color="auto" w:fill="auto"/>
            <w:vAlign w:val="center"/>
          </w:tcPr>
          <w:p>
            <w:pPr>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安全标志</w:t>
            </w:r>
          </w:p>
          <w:p>
            <w:pPr>
              <w:spacing w:after="0" w:line="360" w:lineRule="auto"/>
              <w:ind w:left="0"/>
              <w:jc w:val="center"/>
              <w:rPr>
                <w:rFonts w:ascii="宋体" w:hAnsi="宋体" w:eastAsia="宋体" w:cs="Times New Roman"/>
                <w:b/>
                <w:szCs w:val="24"/>
              </w:rPr>
            </w:pPr>
            <w:r>
              <w:rPr>
                <w:rFonts w:ascii="宋体" w:hAnsi="宋体" w:eastAsia="宋体" w:cs="Times New Roman"/>
                <w:szCs w:val="24"/>
              </w:rPr>
              <w:drawing>
                <wp:inline distT="0" distB="0" distL="0" distR="0">
                  <wp:extent cx="956945" cy="11906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956945" cy="1190625"/>
                          </a:xfrm>
                          <a:prstGeom prst="rect">
                            <a:avLst/>
                          </a:prstGeom>
                          <a:noFill/>
                          <a:ln>
                            <a:noFill/>
                          </a:ln>
                        </pic:spPr>
                      </pic:pic>
                    </a:graphicData>
                  </a:graphic>
                </wp:inline>
              </w:drawing>
            </w:r>
            <w:r>
              <w:rPr>
                <w:rFonts w:hint="eastAsia" w:ascii="宋体" w:hAnsi="宋体" w:eastAsia="宋体" w:cs="Times New Roman"/>
                <w:b/>
                <w:szCs w:val="24"/>
              </w:rPr>
              <w:t xml:space="preserve"> </w:t>
            </w:r>
            <w:r>
              <w:drawing>
                <wp:inline distT="0" distB="0" distL="0" distR="0">
                  <wp:extent cx="929005" cy="1231900"/>
                  <wp:effectExtent l="0" t="0" r="4445" b="635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2" cstate="print"/>
                          <a:stretch>
                            <a:fillRect/>
                          </a:stretch>
                        </pic:blipFill>
                        <pic:spPr>
                          <a:xfrm>
                            <a:off x="0" y="0"/>
                            <a:ext cx="953053" cy="1263426"/>
                          </a:xfrm>
                          <a:prstGeom prst="rect">
                            <a:avLst/>
                          </a:prstGeom>
                        </pic:spPr>
                      </pic:pic>
                    </a:graphicData>
                  </a:graphic>
                </wp:inline>
              </w:drawing>
            </w:r>
            <w:r>
              <w:rPr>
                <w:rFonts w:asciiTheme="minorEastAsia" w:hAnsiTheme="minorEastAsia" w:eastAsiaTheme="minorEastAsia"/>
              </w:rPr>
              <w:drawing>
                <wp:inline distT="0" distB="0" distL="0" distR="0">
                  <wp:extent cx="939800" cy="1230630"/>
                  <wp:effectExtent l="0" t="0" r="0" b="762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3" cstate="print"/>
                          <a:stretch>
                            <a:fillRect/>
                          </a:stretch>
                        </pic:blipFill>
                        <pic:spPr>
                          <a:xfrm>
                            <a:off x="0" y="0"/>
                            <a:ext cx="965754" cy="1264887"/>
                          </a:xfrm>
                          <a:prstGeom prst="rect">
                            <a:avLst/>
                          </a:prstGeom>
                        </pic:spPr>
                      </pic:pic>
                    </a:graphicData>
                  </a:graphic>
                </wp:inline>
              </w:drawing>
            </w:r>
          </w:p>
        </w:tc>
        <w:tc>
          <w:tcPr>
            <w:tcW w:w="1800" w:type="dxa"/>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风险管控措施</w:t>
            </w:r>
          </w:p>
        </w:tc>
        <w:tc>
          <w:tcPr>
            <w:tcW w:w="5966" w:type="dxa"/>
            <w:tcBorders>
              <w:bottom w:val="single" w:color="auto" w:sz="4" w:space="0"/>
            </w:tcBorders>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1.电气作业人员必须持证上岗；</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2.作业人员须接受岗前安全教育，熟知设备安全操作规程；</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3.检修工具及劳动防护用品应合格，且在检验有效期内；</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4.确保设备管道状况良好，做好冬季保温，及时清除地面积水。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责任部门</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应急处置措施</w:t>
            </w:r>
          </w:p>
        </w:tc>
        <w:tc>
          <w:tcPr>
            <w:tcW w:w="5966" w:type="dxa"/>
            <w:vMerge w:val="restart"/>
            <w:tcBorders>
              <w:top w:val="single" w:color="auto" w:sz="6" w:space="0"/>
            </w:tcBorders>
            <w:shd w:val="clear" w:color="auto" w:fill="auto"/>
            <w:vAlign w:val="center"/>
          </w:tcPr>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1.触电时应</w:t>
            </w:r>
            <w:r>
              <w:rPr>
                <w:rFonts w:cs="Times New Roman" w:asciiTheme="minorEastAsia" w:hAnsiTheme="minorEastAsia" w:eastAsiaTheme="minorEastAsia"/>
                <w:b/>
                <w:sz w:val="22"/>
                <w:szCs w:val="21"/>
              </w:rPr>
              <w:t>迅速切断电源，或者用绝缘物体挑开电线或带电物体，使伤者尽快脱离电源</w:t>
            </w:r>
            <w:r>
              <w:rPr>
                <w:rFonts w:hint="eastAsia" w:cs="Times New Roman" w:asciiTheme="minorEastAsia" w:hAnsiTheme="minorEastAsia" w:eastAsiaTheme="minorEastAsia"/>
                <w:b/>
                <w:sz w:val="22"/>
                <w:szCs w:val="21"/>
              </w:rPr>
              <w:t>，</w:t>
            </w:r>
            <w:r>
              <w:rPr>
                <w:rFonts w:cs="Times New Roman" w:asciiTheme="minorEastAsia" w:hAnsiTheme="minorEastAsia" w:eastAsiaTheme="minorEastAsia"/>
                <w:b/>
                <w:sz w:val="22"/>
                <w:szCs w:val="21"/>
              </w:rPr>
              <w:t>将伤者移至安全地带；</w:t>
            </w:r>
          </w:p>
          <w:p>
            <w:pPr>
              <w:spacing w:after="0" w:line="36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2.按预案及信息报告流程</w:t>
            </w:r>
            <w:r>
              <w:rPr>
                <w:rFonts w:cs="Times New Roman" w:asciiTheme="minorEastAsia" w:hAnsiTheme="minorEastAsia" w:eastAsiaTheme="minorEastAsia"/>
                <w:b/>
                <w:sz w:val="22"/>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责任人</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责任人电话</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szCs w:val="21"/>
              </w:rPr>
            </w:pPr>
          </w:p>
        </w:tc>
      </w:tr>
    </w:tbl>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tbl>
      <w:tblPr>
        <w:tblStyle w:val="30"/>
        <w:tblpPr w:leftFromText="180" w:rightFromText="180" w:vertAnchor="text" w:horzAnchor="margin" w:tblpXSpec="center" w:tblpY="19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风险点名称</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锅炉房</w:t>
            </w:r>
          </w:p>
        </w:tc>
        <w:tc>
          <w:tcPr>
            <w:tcW w:w="1800" w:type="dxa"/>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致险因素描述</w:t>
            </w:r>
          </w:p>
        </w:tc>
        <w:tc>
          <w:tcPr>
            <w:tcW w:w="5966" w:type="dxa"/>
            <w:vMerge w:val="restart"/>
            <w:shd w:val="clear" w:color="auto" w:fill="FFFFFF"/>
            <w:vAlign w:val="center"/>
          </w:tcPr>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1.炉体破损、管道破裂、阀门损坏等易造成燃气泄漏；</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2.检查维修作业未遵守安全操作规程；</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3.电气防火及防静电措施有缺陷；</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4.室内动火、吸烟等火源控制不严，消防设施设置不当；</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5.安全仪表附件、报警装置故障、精度不准；</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6.线路与用电器件不匹配及线路老化未及时发现。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风险等级</w:t>
            </w:r>
          </w:p>
        </w:tc>
        <w:tc>
          <w:tcPr>
            <w:tcW w:w="4147" w:type="dxa"/>
            <w:shd w:val="clear" w:color="auto" w:fill="FAE600"/>
            <w:vAlign w:val="center"/>
          </w:tcPr>
          <w:p>
            <w:pPr>
              <w:spacing w:after="0" w:line="400" w:lineRule="exact"/>
              <w:ind w:left="0"/>
              <w:jc w:val="center"/>
              <w:rPr>
                <w:rFonts w:cs="Times New Roman" w:asciiTheme="minorEastAsia" w:hAnsiTheme="minorEastAsia" w:eastAsiaTheme="minorEastAsia"/>
                <w:b/>
                <w:color w:val="FFFFFF" w:themeColor="background1"/>
              </w:rPr>
            </w:pPr>
            <w:r>
              <w:rPr>
                <w:rFonts w:hint="eastAsia" w:cs="Times New Roman" w:asciiTheme="minorEastAsia" w:hAnsiTheme="minorEastAsia" w:eastAsiaTheme="minorEastAsia"/>
                <w:b/>
              </w:rPr>
              <w:t>一般</w:t>
            </w:r>
            <w:r>
              <w:rPr>
                <w:rFonts w:cs="Times New Roman" w:asciiTheme="minorEastAsia" w:hAnsiTheme="minorEastAsia" w:eastAsiaTheme="minorEastAsia"/>
                <w:b/>
              </w:rPr>
              <w:t>风险</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5966" w:type="dxa"/>
            <w:vMerge w:val="continue"/>
            <w:shd w:val="clear" w:color="auto" w:fill="FFFFFF"/>
            <w:vAlign w:val="center"/>
          </w:tcPr>
          <w:p>
            <w:pPr>
              <w:spacing w:after="0" w:line="32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事故类型</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触电 机械伤害 跌伤</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p>
        </w:tc>
        <w:tc>
          <w:tcPr>
            <w:tcW w:w="5966" w:type="dxa"/>
            <w:vMerge w:val="continue"/>
            <w:shd w:val="clear" w:color="auto" w:fill="FFFFFF"/>
            <w:vAlign w:val="center"/>
          </w:tcPr>
          <w:p>
            <w:pPr>
              <w:spacing w:after="0" w:line="320" w:lineRule="exact"/>
              <w:ind w:left="0" w:firstLine="0"/>
              <w:rPr>
                <w:rFonts w:cs="Times New Roman" w:asciiTheme="minorEastAsia" w:hAnsiTheme="minorEastAsia" w:eastAsiaTheme="minorEastAsia"/>
                <w:b/>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408" w:type="dxa"/>
            <w:gridSpan w:val="2"/>
            <w:tcBorders>
              <w:bottom w:val="single" w:color="auto" w:sz="6" w:space="0"/>
            </w:tcBorders>
            <w:shd w:val="clear" w:color="auto" w:fill="auto"/>
            <w:vAlign w:val="center"/>
          </w:tcPr>
          <w:p>
            <w:pPr>
              <w:spacing w:after="0" w:line="240" w:lineRule="auto"/>
              <w:ind w:left="0" w:firstLine="0"/>
              <w:jc w:val="center"/>
              <w:rPr>
                <w:rFonts w:ascii="宋体" w:hAnsi="宋体" w:eastAsia="宋体" w:cs="Times New Roman"/>
                <w:b/>
                <w:szCs w:val="24"/>
              </w:rPr>
            </w:pPr>
            <w:r>
              <w:rPr>
                <w:rFonts w:hint="eastAsia" w:ascii="宋体" w:hAnsi="宋体" w:eastAsia="宋体" w:cs="Times New Roman"/>
                <w:b/>
                <w:szCs w:val="24"/>
              </w:rPr>
              <w:t>安全标志</w:t>
            </w:r>
          </w:p>
          <w:p>
            <w:pPr>
              <w:spacing w:after="0" w:line="360" w:lineRule="auto"/>
              <w:ind w:left="0"/>
              <w:jc w:val="center"/>
              <w:rPr>
                <w:rFonts w:ascii="宋体" w:hAnsi="宋体" w:eastAsia="宋体" w:cs="Times New Roman"/>
                <w:b/>
                <w:szCs w:val="24"/>
              </w:rPr>
            </w:pPr>
            <w:r>
              <w:rPr>
                <w:rFonts w:ascii="宋体" w:hAnsi="宋体" w:eastAsia="宋体" w:cs="Times New Roman"/>
                <w:szCs w:val="24"/>
              </w:rPr>
              <w:drawing>
                <wp:inline distT="0" distB="0" distL="0" distR="0">
                  <wp:extent cx="956945" cy="1190625"/>
                  <wp:effectExtent l="0" t="0" r="0"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956945" cy="1190625"/>
                          </a:xfrm>
                          <a:prstGeom prst="rect">
                            <a:avLst/>
                          </a:prstGeom>
                          <a:noFill/>
                          <a:ln>
                            <a:noFill/>
                          </a:ln>
                        </pic:spPr>
                      </pic:pic>
                    </a:graphicData>
                  </a:graphic>
                </wp:inline>
              </w:drawing>
            </w:r>
            <w:r>
              <w:rPr>
                <w:rFonts w:hint="eastAsia" w:ascii="宋体" w:hAnsi="宋体" w:eastAsia="宋体" w:cs="Times New Roman"/>
                <w:b/>
                <w:szCs w:val="24"/>
              </w:rPr>
              <w:t xml:space="preserve"> </w:t>
            </w:r>
            <w:r>
              <w:rPr>
                <w:rFonts w:ascii="Times New Roman" w:hAnsi="Times New Roman" w:eastAsia="宋体" w:cs="Times New Roman"/>
                <w:b/>
                <w:color w:val="auto"/>
                <w:szCs w:val="21"/>
              </w:rPr>
              <w:drawing>
                <wp:inline distT="0" distB="0" distL="0" distR="0">
                  <wp:extent cx="922020" cy="118173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932699" cy="1195632"/>
                          </a:xfrm>
                          <a:prstGeom prst="rect">
                            <a:avLst/>
                          </a:prstGeom>
                          <a:noFill/>
                          <a:ln>
                            <a:noFill/>
                          </a:ln>
                        </pic:spPr>
                      </pic:pic>
                    </a:graphicData>
                  </a:graphic>
                </wp:inline>
              </w:drawing>
            </w:r>
            <w:r>
              <w:rPr>
                <w:rFonts w:asciiTheme="minorEastAsia" w:hAnsiTheme="minorEastAsia" w:eastAsiaTheme="minorEastAsia"/>
              </w:rPr>
              <w:drawing>
                <wp:inline distT="0" distB="0" distL="0" distR="0">
                  <wp:extent cx="939165" cy="12065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3" cstate="print"/>
                          <a:stretch>
                            <a:fillRect/>
                          </a:stretch>
                        </pic:blipFill>
                        <pic:spPr>
                          <a:xfrm>
                            <a:off x="0" y="0"/>
                            <a:ext cx="966199" cy="1240941"/>
                          </a:xfrm>
                          <a:prstGeom prst="rect">
                            <a:avLst/>
                          </a:prstGeom>
                        </pic:spPr>
                      </pic:pic>
                    </a:graphicData>
                  </a:graphic>
                </wp:inline>
              </w:drawing>
            </w:r>
            <w:r>
              <w:rPr>
                <w:rFonts w:ascii="Times New Roman" w:hAnsi="Times New Roman" w:eastAsia="宋体" w:cs="Times New Roman"/>
                <w:b/>
                <w:color w:val="auto"/>
                <w:szCs w:val="21"/>
              </w:rPr>
              <w:drawing>
                <wp:inline distT="0" distB="0" distL="0" distR="0">
                  <wp:extent cx="913765" cy="1192530"/>
                  <wp:effectExtent l="0" t="0" r="635" b="762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917161" cy="1196296"/>
                          </a:xfrm>
                          <a:prstGeom prst="rect">
                            <a:avLst/>
                          </a:prstGeom>
                          <a:noFill/>
                          <a:ln>
                            <a:noFill/>
                          </a:ln>
                        </pic:spPr>
                      </pic:pic>
                    </a:graphicData>
                  </a:graphic>
                </wp:inline>
              </w:drawing>
            </w:r>
          </w:p>
        </w:tc>
        <w:tc>
          <w:tcPr>
            <w:tcW w:w="1800" w:type="dxa"/>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风险管控措施</w:t>
            </w:r>
          </w:p>
        </w:tc>
        <w:tc>
          <w:tcPr>
            <w:tcW w:w="5966" w:type="dxa"/>
            <w:tcBorders>
              <w:bottom w:val="single" w:color="auto" w:sz="4" w:space="0"/>
            </w:tcBorders>
            <w:shd w:val="clear" w:color="auto" w:fill="auto"/>
            <w:vAlign w:val="center"/>
          </w:tcPr>
          <w:p>
            <w:pPr>
              <w:spacing w:after="0" w:line="32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1.电气作业人员必须持证上岗；</w:t>
            </w:r>
          </w:p>
          <w:p>
            <w:pPr>
              <w:spacing w:after="0" w:line="32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2.作业人员须接受岗前安全教育，熟知设备安全操作规程；</w:t>
            </w:r>
          </w:p>
          <w:p>
            <w:pPr>
              <w:spacing w:after="0" w:line="32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3.检修工具及劳动防护用品应合格，且在检验有效期内；</w:t>
            </w:r>
          </w:p>
          <w:p>
            <w:pPr>
              <w:spacing w:after="0" w:line="320" w:lineRule="exact"/>
              <w:ind w:left="0" w:firstLine="0"/>
              <w:rPr>
                <w:rFonts w:cs="Times New Roman" w:asciiTheme="minorEastAsia" w:hAnsiTheme="minorEastAsia" w:eastAsiaTheme="minorEastAsia"/>
                <w:b/>
                <w:sz w:val="22"/>
                <w:szCs w:val="21"/>
              </w:rPr>
            </w:pPr>
            <w:r>
              <w:rPr>
                <w:rFonts w:hint="eastAsia" w:cs="Times New Roman" w:asciiTheme="minorEastAsia" w:hAnsiTheme="minorEastAsia" w:eastAsiaTheme="minorEastAsia"/>
                <w:b/>
                <w:sz w:val="22"/>
                <w:szCs w:val="21"/>
              </w:rPr>
              <w:t>4.确保设备管道状况良好，做好冬季保温，及时清除地面积水。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责任部门</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szCs w:val="24"/>
              </w:rPr>
            </w:pPr>
            <w:r>
              <w:rPr>
                <w:rFonts w:hint="eastAsia" w:cs="Times New Roman" w:asciiTheme="minorEastAsia" w:hAnsiTheme="minorEastAsia" w:eastAsiaTheme="minorEastAsia"/>
                <w:b/>
                <w:szCs w:val="24"/>
              </w:rPr>
              <w:t>应急处置措施</w:t>
            </w:r>
          </w:p>
        </w:tc>
        <w:tc>
          <w:tcPr>
            <w:tcW w:w="5966" w:type="dxa"/>
            <w:vMerge w:val="restart"/>
            <w:shd w:val="clear" w:color="auto" w:fill="FFFFFF"/>
            <w:vAlign w:val="center"/>
          </w:tcPr>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1.火灾时按预案进行初期火灾控制，无法控制或爆炸时，立即疏散周边人员，对现场实施隔离、警戒；</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2.按预案及信息报告流程向上级报告，拨打120、119等急救电话。</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3.中毒事故发生时，应先通风再施救，不得盲目施救。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责任人</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rPr>
            </w:pPr>
            <w:r>
              <w:rPr>
                <w:rFonts w:hint="eastAsia" w:cs="Times New Roman" w:asciiTheme="minorEastAsia" w:hAnsiTheme="minorEastAsia" w:eastAsiaTheme="minorEastAsia"/>
                <w:b/>
              </w:rPr>
              <w:t>责任人电话</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szCs w:val="21"/>
              </w:rPr>
            </w:pPr>
          </w:p>
        </w:tc>
      </w:tr>
    </w:tbl>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exact"/>
        <w:ind w:left="0" w:firstLine="0"/>
        <w:rPr>
          <w:rFonts w:ascii="宋体" w:hAnsi="宋体" w:eastAsia="宋体" w:cs="Times New Roman"/>
          <w:b/>
          <w:sz w:val="21"/>
          <w:szCs w:val="21"/>
        </w:rPr>
      </w:pPr>
    </w:p>
    <w:p>
      <w:pPr>
        <w:widowControl w:val="0"/>
        <w:spacing w:after="0" w:line="360" w:lineRule="auto"/>
        <w:ind w:left="0" w:firstLine="0"/>
        <w:jc w:val="both"/>
        <w:rPr>
          <w:rFonts w:cs="宋体" w:asciiTheme="minorEastAsia" w:hAnsiTheme="minorEastAsia" w:eastAsiaTheme="minorEastAsia"/>
          <w:szCs w:val="24"/>
        </w:rPr>
        <w:sectPr>
          <w:headerReference r:id="rId7" w:type="default"/>
          <w:footerReference r:id="rId8" w:type="default"/>
          <w:pgSz w:w="16839" w:h="11907" w:orient="landscape"/>
          <w:pgMar w:top="720" w:right="720" w:bottom="720" w:left="720" w:header="0" w:footer="907" w:gutter="0"/>
          <w:cols w:space="720" w:num="1"/>
          <w:docGrid w:type="linesAndChars" w:linePitch="584" w:charSpace="-849"/>
        </w:sectPr>
      </w:pPr>
    </w:p>
    <w:p>
      <w:pPr>
        <w:widowControl w:val="0"/>
        <w:spacing w:before="292" w:beforeLines="50" w:after="292" w:afterLines="50" w:line="560" w:lineRule="exact"/>
        <w:ind w:left="0" w:hanging="11"/>
        <w:outlineLvl w:val="1"/>
        <w:rPr>
          <w:rFonts w:cs="Calibri" w:asciiTheme="minorEastAsia" w:hAnsiTheme="minorEastAsia" w:eastAsiaTheme="minorEastAsia"/>
          <w:b/>
          <w:color w:val="auto"/>
          <w:sz w:val="28"/>
          <w:szCs w:val="24"/>
        </w:rPr>
      </w:pPr>
      <w:bookmarkStart w:id="35" w:name="_Toc43030380"/>
      <w:bookmarkStart w:id="36" w:name="_Toc105769802"/>
      <w:r>
        <w:rPr>
          <w:rFonts w:hint="eastAsia" w:cs="Calibri" w:asciiTheme="minorEastAsia" w:hAnsiTheme="minorEastAsia" w:eastAsiaTheme="minorEastAsia"/>
          <w:b/>
          <w:color w:val="auto"/>
          <w:sz w:val="28"/>
          <w:szCs w:val="24"/>
        </w:rPr>
        <w:t>2.</w:t>
      </w:r>
      <w:r>
        <w:rPr>
          <w:rFonts w:cs="Calibri" w:asciiTheme="minorEastAsia" w:hAnsiTheme="minorEastAsia" w:eastAsiaTheme="minorEastAsia"/>
          <w:b/>
          <w:color w:val="auto"/>
          <w:sz w:val="28"/>
          <w:szCs w:val="24"/>
        </w:rPr>
        <w:t>3</w:t>
      </w:r>
      <w:r>
        <w:rPr>
          <w:rFonts w:hint="eastAsia" w:cs="Calibri" w:asciiTheme="minorEastAsia" w:hAnsiTheme="minorEastAsia" w:eastAsiaTheme="minorEastAsia"/>
          <w:b/>
          <w:color w:val="auto"/>
          <w:sz w:val="28"/>
          <w:szCs w:val="24"/>
        </w:rPr>
        <w:t>岗位风险告知卡</w:t>
      </w:r>
      <w:bookmarkEnd w:id="35"/>
      <w:bookmarkEnd w:id="36"/>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中电建冀交高投公司工程管理部设置主任、副主任及职员岗位，养护工区设置主任、副主任、综合管理、养护管理、机械设备管理等岗位，制定岗位风险告知卡如下：</w:t>
      </w:r>
    </w:p>
    <w:p>
      <w:pPr>
        <w:widowControl w:val="0"/>
        <w:spacing w:after="0" w:line="480" w:lineRule="exact"/>
        <w:ind w:left="0" w:firstLine="480"/>
        <w:jc w:val="both"/>
        <w:rPr>
          <w:rFonts w:cs="Calibri" w:asciiTheme="minorEastAsia" w:hAnsiTheme="minorEastAsia" w:eastAsiaTheme="minorEastAsia"/>
          <w:szCs w:val="24"/>
        </w:rPr>
        <w:sectPr>
          <w:headerReference r:id="rId9" w:type="default"/>
          <w:footerReference r:id="rId10" w:type="default"/>
          <w:pgSz w:w="16839" w:h="11907" w:orient="landscape"/>
          <w:pgMar w:top="720" w:right="720" w:bottom="720" w:left="720" w:header="851" w:footer="1531" w:gutter="0"/>
          <w:cols w:space="720" w:num="1"/>
          <w:docGrid w:type="linesAndChars" w:linePitch="584" w:charSpace="-849"/>
        </w:sectPr>
      </w:pP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工程管理部岗位风险告知卡</w:t>
      </w:r>
    </w:p>
    <w:tbl>
      <w:tblPr>
        <w:tblStyle w:val="2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4"/>
        <w:gridCol w:w="878"/>
        <w:gridCol w:w="1486"/>
        <w:gridCol w:w="6698"/>
        <w:gridCol w:w="4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岗位</w:t>
            </w:r>
            <w:r>
              <w:rPr>
                <w:rFonts w:hint="eastAsia" w:ascii="宋体" w:hAnsi="宋体" w:eastAsia="宋体" w:cs="Times New Roman"/>
                <w:b/>
                <w:color w:val="auto"/>
                <w:kern w:val="0"/>
                <w:szCs w:val="24"/>
              </w:rPr>
              <w:t>：主任、副主任、职员</w:t>
            </w:r>
          </w:p>
        </w:tc>
        <w:tc>
          <w:tcPr>
            <w:tcW w:w="281"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风险点</w:t>
            </w:r>
          </w:p>
        </w:tc>
        <w:tc>
          <w:tcPr>
            <w:tcW w:w="476"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风险事件</w:t>
            </w:r>
          </w:p>
        </w:tc>
        <w:tc>
          <w:tcPr>
            <w:tcW w:w="2145"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风险管控措施</w:t>
            </w:r>
          </w:p>
        </w:tc>
        <w:tc>
          <w:tcPr>
            <w:tcW w:w="1594"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restart"/>
          </w:tcPr>
          <w:p>
            <w:pPr>
              <w:widowControl w:val="0"/>
              <w:spacing w:before="584" w:beforeLines="100" w:after="292" w:afterLines="5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作业步骤/</w:t>
            </w:r>
            <w:r>
              <w:rPr>
                <w:rFonts w:ascii="宋体" w:hAnsi="宋体" w:eastAsia="宋体" w:cs="Times New Roman"/>
                <w:b/>
                <w:color w:val="auto"/>
                <w:kern w:val="0"/>
                <w:szCs w:val="24"/>
              </w:rPr>
              <w:t>内容</w:t>
            </w:r>
            <w:r>
              <w:rPr>
                <w:rFonts w:hint="eastAsia" w:ascii="宋体" w:hAnsi="宋体" w:eastAsia="宋体" w:cs="Times New Roman"/>
                <w:b/>
                <w:color w:val="auto"/>
                <w:kern w:val="0"/>
                <w:szCs w:val="24"/>
              </w:rPr>
              <w:t>：</w:t>
            </w:r>
          </w:p>
          <w:p>
            <w:pPr>
              <w:widowControl w:val="0"/>
              <w:spacing w:before="584" w:beforeLines="100" w:after="292" w:afterLines="50" w:line="300" w:lineRule="exact"/>
              <w:ind w:left="0" w:firstLine="0"/>
              <w:jc w:val="both"/>
              <w:rPr>
                <w:rFonts w:cs="宋体"/>
                <w:kern w:val="0"/>
                <w:szCs w:val="24"/>
              </w:rPr>
            </w:pPr>
            <w:r>
              <w:rPr>
                <w:rFonts w:hint="eastAsia" w:ascii="宋体" w:hAnsi="宋体" w:eastAsia="宋体" w:cs="Times New Roman"/>
                <w:color w:val="auto"/>
                <w:kern w:val="0"/>
                <w:szCs w:val="24"/>
              </w:rPr>
              <w:t>机关办公、路段检查养护作业</w:t>
            </w:r>
          </w:p>
        </w:tc>
        <w:tc>
          <w:tcPr>
            <w:tcW w:w="281" w:type="pct"/>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工区院区、</w:t>
            </w:r>
            <w:r>
              <w:rPr>
                <w:rFonts w:ascii="宋体" w:hAnsi="宋体" w:eastAsia="宋体" w:cs="Times New Roman"/>
                <w:color w:val="auto"/>
                <w:kern w:val="0"/>
                <w:szCs w:val="24"/>
              </w:rPr>
              <w:t>办公室</w:t>
            </w:r>
          </w:p>
        </w:tc>
        <w:tc>
          <w:tcPr>
            <w:tcW w:w="476" w:type="pct"/>
            <w:tcBorders>
              <w:bottom w:val="single" w:color="auto" w:sz="4" w:space="0"/>
            </w:tcBorders>
            <w:shd w:val="clear" w:color="auto" w:fill="3764FF"/>
            <w:vAlign w:val="center"/>
          </w:tcPr>
          <w:p>
            <w:pPr>
              <w:widowControl w:val="0"/>
              <w:spacing w:before="116" w:beforeLines="2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触电</w:t>
            </w:r>
          </w:p>
          <w:p>
            <w:pPr>
              <w:widowControl w:val="0"/>
              <w:spacing w:before="116" w:beforeLines="2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w:t>
            </w:r>
          </w:p>
        </w:tc>
        <w:tc>
          <w:tcPr>
            <w:tcW w:w="2145" w:type="pct"/>
            <w:shd w:val="clear" w:color="auto" w:fill="auto"/>
            <w:vAlign w:val="center"/>
          </w:tcPr>
          <w:p>
            <w:pPr>
              <w:widowControl w:val="0"/>
              <w:spacing w:before="116" w:beforeLines="2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按规定使用电器产品，不得私拉乱接、不得使用不合格电气产品、线路及插座；人走电断；不得私自存放易燃易爆物品；</w:t>
            </w:r>
          </w:p>
          <w:p>
            <w:pPr>
              <w:widowControl w:val="0"/>
              <w:spacing w:before="116" w:beforeLines="2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2.非电气作业人员不得检修电气设备；</w:t>
            </w:r>
          </w:p>
          <w:p>
            <w:pPr>
              <w:widowControl w:val="0"/>
              <w:spacing w:before="116" w:beforeLines="2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3.遵守公司用火、用电安全管理制度。</w:t>
            </w:r>
          </w:p>
        </w:tc>
        <w:tc>
          <w:tcPr>
            <w:tcW w:w="1594" w:type="pct"/>
            <w:shd w:val="clear" w:color="auto" w:fill="auto"/>
            <w:vAlign w:val="center"/>
          </w:tcPr>
          <w:p>
            <w:pPr>
              <w:widowControl w:val="0"/>
              <w:spacing w:before="116" w:beforeLines="2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切断电源，用绝缘物体挑开带电物体；积极抢救伤员：若触电者失去知觉，应使其平卧，以利呼吸；若触电者呼吸、脉搏停止，实施人工呼吸或胸外心脏挤压法抢救；2. 火情较小时使用灭火器灭火，较大时及时疏散至空旷区域3</w:t>
            </w:r>
            <w:r>
              <w:rPr>
                <w:rFonts w:ascii="宋体" w:hAnsi="宋体" w:eastAsia="宋体" w:cs="Times New Roman"/>
                <w:color w:val="auto"/>
                <w:kern w:val="0"/>
                <w:szCs w:val="24"/>
              </w:rPr>
              <w:t>.</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continue"/>
            <w:tcBorders>
              <w:bottom w:val="single" w:color="auto" w:sz="4" w:space="0"/>
            </w:tcBorders>
          </w:tcPr>
          <w:p>
            <w:pPr>
              <w:widowControl w:val="0"/>
              <w:spacing w:after="0" w:line="300" w:lineRule="exact"/>
              <w:ind w:left="0" w:firstLine="0"/>
              <w:jc w:val="center"/>
              <w:rPr>
                <w:rFonts w:ascii="宋体" w:hAnsi="宋体" w:eastAsia="宋体" w:cs="Times New Roman"/>
                <w:color w:val="auto"/>
                <w:kern w:val="0"/>
                <w:szCs w:val="24"/>
              </w:rPr>
            </w:pPr>
          </w:p>
        </w:tc>
        <w:tc>
          <w:tcPr>
            <w:tcW w:w="281" w:type="pct"/>
            <w:tcBorders>
              <w:bottom w:val="single" w:color="auto" w:sz="4" w:space="0"/>
            </w:tcBorders>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路段、收费站</w:t>
            </w:r>
          </w:p>
        </w:tc>
        <w:tc>
          <w:tcPr>
            <w:tcW w:w="476" w:type="pct"/>
            <w:tcBorders>
              <w:bottom w:val="single" w:color="auto" w:sz="4" w:space="0"/>
            </w:tcBorders>
            <w:shd w:val="clear" w:color="auto" w:fill="FAE600"/>
            <w:vAlign w:val="center"/>
          </w:tcPr>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起重伤害</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高处坠落</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物体打击</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火灾爆炸</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其他</w:t>
            </w:r>
          </w:p>
        </w:tc>
        <w:tc>
          <w:tcPr>
            <w:tcW w:w="2145" w:type="pct"/>
            <w:tcBorders>
              <w:bottom w:val="single" w:color="auto" w:sz="4" w:space="0"/>
            </w:tcBorders>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 xml:space="preserve">1.遵守道路交通法规和公司安全制度，不得酒后驾车、巡查作业； </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2.按照《公路养护作业安全技术规程》</w:t>
            </w:r>
            <w:r>
              <w:rPr>
                <w:rFonts w:hint="eastAsia" w:ascii="宋体" w:hAnsi="宋体" w:eastAsia="宋体" w:cs="Times New Roman"/>
                <w:color w:val="auto"/>
                <w:kern w:val="0"/>
                <w:szCs w:val="24"/>
              </w:rPr>
              <w:t>检查</w:t>
            </w:r>
            <w:r>
              <w:rPr>
                <w:rFonts w:ascii="宋体" w:hAnsi="宋体" w:eastAsia="宋体" w:cs="Times New Roman"/>
                <w:color w:val="auto"/>
                <w:kern w:val="0"/>
                <w:szCs w:val="24"/>
              </w:rPr>
              <w:t>养护作业区</w:t>
            </w:r>
            <w:r>
              <w:rPr>
                <w:rFonts w:hint="eastAsia" w:ascii="宋体" w:hAnsi="宋体" w:eastAsia="宋体" w:cs="Times New Roman"/>
                <w:color w:val="auto"/>
                <w:kern w:val="0"/>
                <w:szCs w:val="24"/>
              </w:rPr>
              <w:t>、</w:t>
            </w:r>
            <w:r>
              <w:rPr>
                <w:rFonts w:ascii="宋体" w:hAnsi="宋体" w:eastAsia="宋体" w:cs="Times New Roman"/>
                <w:color w:val="auto"/>
                <w:kern w:val="0"/>
                <w:szCs w:val="24"/>
              </w:rPr>
              <w:t>警示标志标牌的设置；</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3.按规定穿戴反光服、防滑鞋，注意周边环境和来往车辆。</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4</w:t>
            </w:r>
            <w:r>
              <w:rPr>
                <w:rFonts w:ascii="宋体" w:hAnsi="宋体" w:eastAsia="宋体" w:cs="Times New Roman"/>
                <w:color w:val="auto"/>
                <w:kern w:val="0"/>
                <w:szCs w:val="24"/>
              </w:rPr>
              <w:t>.高处作业人员应穿戴好防滑鞋、安全带；雨雪、雾霾及强风等恶劣天气时，不得进行高处作业、起重作业；</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5</w:t>
            </w:r>
            <w:r>
              <w:rPr>
                <w:rFonts w:ascii="宋体" w:hAnsi="宋体" w:eastAsia="宋体" w:cs="Times New Roman"/>
                <w:color w:val="auto"/>
                <w:kern w:val="0"/>
                <w:szCs w:val="24"/>
              </w:rPr>
              <w:t>.作业前检查设备设施防护设施、警示标志，确保齐全有效；</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6</w:t>
            </w:r>
            <w:r>
              <w:rPr>
                <w:rFonts w:ascii="宋体" w:hAnsi="宋体" w:eastAsia="宋体" w:cs="Times New Roman"/>
                <w:color w:val="auto"/>
                <w:kern w:val="0"/>
                <w:szCs w:val="24"/>
              </w:rPr>
              <w:t>.做好现场防火防爆防护，设置消防器材，加强</w:t>
            </w:r>
            <w:r>
              <w:rPr>
                <w:rFonts w:hint="eastAsia" w:ascii="宋体" w:hAnsi="宋体" w:eastAsia="宋体" w:cs="Times New Roman"/>
                <w:color w:val="auto"/>
                <w:kern w:val="0"/>
                <w:szCs w:val="24"/>
              </w:rPr>
              <w:t>防火</w:t>
            </w:r>
            <w:r>
              <w:rPr>
                <w:rFonts w:ascii="宋体" w:hAnsi="宋体" w:eastAsia="宋体" w:cs="Times New Roman"/>
                <w:color w:val="auto"/>
                <w:kern w:val="0"/>
                <w:szCs w:val="24"/>
              </w:rPr>
              <w:t>管理。</w:t>
            </w:r>
          </w:p>
        </w:tc>
        <w:tc>
          <w:tcPr>
            <w:tcW w:w="1594" w:type="pct"/>
            <w:tcBorders>
              <w:bottom w:val="single" w:color="auto" w:sz="4" w:space="0"/>
            </w:tcBorders>
            <w:shd w:val="clear" w:color="auto" w:fill="auto"/>
            <w:vAlign w:val="center"/>
          </w:tcPr>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1.视情况转移伤员或设置警戒区；</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2.积极抢救伤员：如受伤人员出现骨折、休克或昏迷状况，应采取临时包扎止血措施；若受伤者呼吸、脉搏停止，应实施人工呼吸或胸外心脏挤压法抢救；</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3.组织或参与现场救援、交通组织；</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4.</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1" w:type="pct"/>
            <w:gridSpan w:val="3"/>
            <w:tcBorders>
              <w:bottom w:val="single" w:color="auto" w:sz="4" w:space="0"/>
            </w:tcBorders>
            <w:shd w:val="clear" w:color="auto" w:fill="F1F1F1" w:themeFill="background1" w:themeFillShade="F2"/>
            <w:vAlign w:val="center"/>
          </w:tcPr>
          <w:p>
            <w:pPr>
              <w:widowControl w:val="0"/>
              <w:spacing w:before="116" w:beforeLines="20" w:after="0" w:line="24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应急</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739" w:type="pct"/>
            <w:gridSpan w:val="2"/>
            <w:tcBorders>
              <w:bottom w:val="single" w:color="auto" w:sz="4" w:space="0"/>
            </w:tcBorders>
            <w:shd w:val="clear" w:color="auto" w:fill="F1F1F1" w:themeFill="background1" w:themeFillShade="F2"/>
            <w:vAlign w:val="center"/>
          </w:tcPr>
          <w:p>
            <w:pPr>
              <w:widowControl w:val="0"/>
              <w:spacing w:before="116" w:beforeLines="20" w:after="0" w:line="240" w:lineRule="auto"/>
              <w:ind w:left="0" w:firstLine="0"/>
              <w:jc w:val="both"/>
              <w:rPr>
                <w:rFonts w:ascii="宋体" w:hAnsi="宋体" w:eastAsia="宋体" w:cs="Times New Roman"/>
                <w:b/>
                <w:color w:val="auto"/>
                <w:kern w:val="0"/>
                <w:szCs w:val="24"/>
              </w:rPr>
            </w:pP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ascii="宋体" w:hAnsi="宋体" w:eastAsia="宋体" w:cs="Times New Roman"/>
                <w:b/>
                <w:color w:val="auto"/>
                <w:kern w:val="0"/>
                <w:szCs w:val="24"/>
              </w:rPr>
              <w:t>作业小组成员</w:t>
            </w:r>
            <w:r>
              <w:rPr>
                <w:rFonts w:hint="eastAsia" w:ascii="宋体" w:hAnsi="宋体" w:eastAsia="宋体" w:cs="Times New Roman"/>
                <w:b/>
                <w:color w:val="auto"/>
                <w:kern w:val="0"/>
                <w:szCs w:val="24"/>
              </w:rPr>
              <w:t>：</w:t>
            </w:r>
          </w:p>
        </w:tc>
      </w:tr>
    </w:tbl>
    <w:p>
      <w:pPr>
        <w:widowControl w:val="0"/>
        <w:spacing w:after="0" w:line="300" w:lineRule="exact"/>
        <w:ind w:left="0" w:firstLine="632" w:firstLineChars="200"/>
        <w:rPr>
          <w:rFonts w:ascii="华文隶书" w:hAnsi="华文中宋" w:eastAsia="华文隶书"/>
          <w:b/>
          <w:color w:val="000000" w:themeColor="text1"/>
          <w:sz w:val="32"/>
          <w:szCs w:val="32"/>
        </w:rPr>
      </w:pPr>
      <w:r>
        <w:rPr>
          <w:rFonts w:hint="eastAsia" w:ascii="华文隶书" w:hAnsi="华文中宋" w:eastAsia="华文隶书"/>
          <w:b/>
          <w:color w:val="000000" w:themeColor="text1"/>
          <w:sz w:val="32"/>
          <w:szCs w:val="32"/>
        </w:rPr>
        <w:t>安全第一      预防为主                                    防风险     除隐患     遏事故</w:t>
      </w:r>
    </w:p>
    <w:p>
      <w:pPr>
        <w:spacing w:after="0" w:line="240" w:lineRule="auto"/>
        <w:ind w:left="0" w:firstLine="0"/>
        <w:rPr>
          <w:rFonts w:ascii="华文隶书" w:hAnsi="华文中宋" w:eastAsia="华文隶书"/>
          <w:b/>
          <w:color w:val="000000" w:themeColor="text1"/>
          <w:sz w:val="32"/>
          <w:szCs w:val="32"/>
        </w:rPr>
      </w:pPr>
      <w:r>
        <w:rPr>
          <w:rFonts w:ascii="华文隶书" w:hAnsi="华文中宋" w:eastAsia="华文隶书"/>
          <w:b/>
          <w:color w:val="000000" w:themeColor="text1"/>
          <w:sz w:val="32"/>
          <w:szCs w:val="32"/>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养护工区岗位风险告知卡</w:t>
      </w:r>
    </w:p>
    <w:tbl>
      <w:tblPr>
        <w:tblStyle w:val="2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4"/>
        <w:gridCol w:w="878"/>
        <w:gridCol w:w="1486"/>
        <w:gridCol w:w="6698"/>
        <w:gridCol w:w="4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岗位</w:t>
            </w:r>
            <w:r>
              <w:rPr>
                <w:rFonts w:hint="eastAsia" w:ascii="宋体" w:hAnsi="宋体" w:eastAsia="宋体" w:cs="Times New Roman"/>
                <w:b/>
                <w:color w:val="auto"/>
                <w:kern w:val="0"/>
                <w:szCs w:val="24"/>
              </w:rPr>
              <w:t>：主任、副主任</w:t>
            </w:r>
          </w:p>
        </w:tc>
        <w:tc>
          <w:tcPr>
            <w:tcW w:w="281"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风险点</w:t>
            </w:r>
          </w:p>
        </w:tc>
        <w:tc>
          <w:tcPr>
            <w:tcW w:w="476"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风险事件</w:t>
            </w:r>
          </w:p>
        </w:tc>
        <w:tc>
          <w:tcPr>
            <w:tcW w:w="2145"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风险管控措施</w:t>
            </w:r>
          </w:p>
        </w:tc>
        <w:tc>
          <w:tcPr>
            <w:tcW w:w="1594"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restart"/>
          </w:tcPr>
          <w:p>
            <w:pPr>
              <w:widowControl w:val="0"/>
              <w:spacing w:before="584" w:beforeLines="100" w:after="292" w:afterLines="5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作业步骤/</w:t>
            </w:r>
            <w:r>
              <w:rPr>
                <w:rFonts w:ascii="宋体" w:hAnsi="宋体" w:eastAsia="宋体" w:cs="Times New Roman"/>
                <w:b/>
                <w:color w:val="auto"/>
                <w:kern w:val="0"/>
                <w:szCs w:val="24"/>
              </w:rPr>
              <w:t>内容</w:t>
            </w:r>
            <w:r>
              <w:rPr>
                <w:rFonts w:hint="eastAsia" w:ascii="宋体" w:hAnsi="宋体" w:eastAsia="宋体" w:cs="Times New Roman"/>
                <w:b/>
                <w:color w:val="auto"/>
                <w:kern w:val="0"/>
                <w:szCs w:val="24"/>
              </w:rPr>
              <w:t>：</w:t>
            </w:r>
          </w:p>
          <w:p>
            <w:pPr>
              <w:widowControl w:val="0"/>
              <w:spacing w:before="584" w:beforeLines="100" w:after="292" w:afterLines="50" w:line="300" w:lineRule="exact"/>
              <w:ind w:left="0" w:firstLine="0"/>
              <w:jc w:val="both"/>
              <w:rPr>
                <w:rFonts w:cs="宋体"/>
                <w:kern w:val="0"/>
                <w:szCs w:val="24"/>
              </w:rPr>
            </w:pPr>
            <w:r>
              <w:rPr>
                <w:rFonts w:hint="eastAsia" w:ascii="宋体" w:hAnsi="宋体" w:eastAsia="宋体" w:cs="Times New Roman"/>
                <w:color w:val="auto"/>
                <w:kern w:val="0"/>
                <w:szCs w:val="24"/>
              </w:rPr>
              <w:t>机关办公、路段巡查养护作业</w:t>
            </w:r>
          </w:p>
        </w:tc>
        <w:tc>
          <w:tcPr>
            <w:tcW w:w="281" w:type="pct"/>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工区院区、</w:t>
            </w:r>
            <w:r>
              <w:rPr>
                <w:rFonts w:ascii="宋体" w:hAnsi="宋体" w:eastAsia="宋体" w:cs="Times New Roman"/>
                <w:color w:val="auto"/>
                <w:kern w:val="0"/>
                <w:szCs w:val="24"/>
              </w:rPr>
              <w:t>办公室</w:t>
            </w:r>
          </w:p>
        </w:tc>
        <w:tc>
          <w:tcPr>
            <w:tcW w:w="476" w:type="pct"/>
            <w:tcBorders>
              <w:bottom w:val="single" w:color="auto" w:sz="4" w:space="0"/>
            </w:tcBorders>
            <w:shd w:val="clear" w:color="auto" w:fill="3764FF"/>
            <w:vAlign w:val="center"/>
          </w:tcPr>
          <w:p>
            <w:pPr>
              <w:widowControl w:val="0"/>
              <w:spacing w:before="116" w:beforeLines="2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触电</w:t>
            </w:r>
          </w:p>
          <w:p>
            <w:pPr>
              <w:widowControl w:val="0"/>
              <w:spacing w:before="116" w:beforeLines="2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w:t>
            </w:r>
          </w:p>
        </w:tc>
        <w:tc>
          <w:tcPr>
            <w:tcW w:w="2145" w:type="pct"/>
            <w:shd w:val="clear" w:color="auto" w:fill="auto"/>
            <w:vAlign w:val="center"/>
          </w:tcPr>
          <w:p>
            <w:pPr>
              <w:widowControl w:val="0"/>
              <w:spacing w:before="116" w:beforeLines="2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按规定使用电器产品，不得私拉乱接、不得使用不合格电气产品、线路及插座；人走电断；不得私自存放易燃易爆物品；</w:t>
            </w:r>
          </w:p>
          <w:p>
            <w:pPr>
              <w:widowControl w:val="0"/>
              <w:spacing w:before="116" w:beforeLines="2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2.非电气作业人员不得检修电气设备；</w:t>
            </w:r>
          </w:p>
          <w:p>
            <w:pPr>
              <w:widowControl w:val="0"/>
              <w:spacing w:before="116" w:beforeLines="2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3.遵守公司用火、用电安全管理制度。</w:t>
            </w:r>
          </w:p>
        </w:tc>
        <w:tc>
          <w:tcPr>
            <w:tcW w:w="1594" w:type="pct"/>
            <w:shd w:val="clear" w:color="auto" w:fill="auto"/>
            <w:vAlign w:val="center"/>
          </w:tcPr>
          <w:p>
            <w:pPr>
              <w:widowControl w:val="0"/>
              <w:spacing w:before="116" w:beforeLines="2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切断电源，用绝缘物体挑开带电物体；积极抢救伤员：若触电者失去知觉，应使其平卧，以利呼吸；若触电者呼吸、脉搏停止，实施人工呼吸或胸外心脏挤压法抢救；2. 火情较小时使用灭火器灭火，较大时及时疏散至空旷区域3</w:t>
            </w:r>
            <w:r>
              <w:rPr>
                <w:rFonts w:ascii="宋体" w:hAnsi="宋体" w:eastAsia="宋体" w:cs="Times New Roman"/>
                <w:color w:val="auto"/>
                <w:kern w:val="0"/>
                <w:szCs w:val="24"/>
              </w:rPr>
              <w:t>.</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continue"/>
            <w:tcBorders>
              <w:bottom w:val="single" w:color="auto" w:sz="4" w:space="0"/>
            </w:tcBorders>
          </w:tcPr>
          <w:p>
            <w:pPr>
              <w:widowControl w:val="0"/>
              <w:spacing w:after="0" w:line="300" w:lineRule="exact"/>
              <w:ind w:left="0" w:firstLine="0"/>
              <w:jc w:val="center"/>
              <w:rPr>
                <w:rFonts w:ascii="宋体" w:hAnsi="宋体" w:eastAsia="宋体" w:cs="Times New Roman"/>
                <w:color w:val="auto"/>
                <w:kern w:val="0"/>
                <w:szCs w:val="24"/>
              </w:rPr>
            </w:pPr>
          </w:p>
        </w:tc>
        <w:tc>
          <w:tcPr>
            <w:tcW w:w="281" w:type="pct"/>
            <w:tcBorders>
              <w:bottom w:val="single" w:color="auto" w:sz="4" w:space="0"/>
            </w:tcBorders>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路段、收费站</w:t>
            </w:r>
          </w:p>
        </w:tc>
        <w:tc>
          <w:tcPr>
            <w:tcW w:w="476" w:type="pct"/>
            <w:tcBorders>
              <w:bottom w:val="single" w:color="auto" w:sz="4" w:space="0"/>
            </w:tcBorders>
            <w:shd w:val="clear" w:color="auto" w:fill="FAE600"/>
            <w:vAlign w:val="center"/>
          </w:tcPr>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起重伤害</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高处坠落</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物体打击</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火灾爆炸</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其他</w:t>
            </w:r>
          </w:p>
        </w:tc>
        <w:tc>
          <w:tcPr>
            <w:tcW w:w="2145" w:type="pct"/>
            <w:tcBorders>
              <w:bottom w:val="single" w:color="auto" w:sz="4" w:space="0"/>
            </w:tcBorders>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 xml:space="preserve">1.遵守道路交通法规和公司安全制度，不得酒后驾车、巡查作业； </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2.按照《公路养护作业安全技术规程》设置养护作业区；</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3.按规定穿戴反光服、防滑鞋，注意周边环境和来往车辆。</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4</w:t>
            </w:r>
            <w:r>
              <w:rPr>
                <w:rFonts w:ascii="宋体" w:hAnsi="宋体" w:eastAsia="宋体" w:cs="Times New Roman"/>
                <w:color w:val="auto"/>
                <w:kern w:val="0"/>
                <w:szCs w:val="24"/>
              </w:rPr>
              <w:t>.高处作业人员应穿戴好防滑鞋、安全带；雨雪、雾霾及强风等恶劣天气时，不得进行高处作业、起重作业；</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5</w:t>
            </w:r>
            <w:r>
              <w:rPr>
                <w:rFonts w:ascii="宋体" w:hAnsi="宋体" w:eastAsia="宋体" w:cs="Times New Roman"/>
                <w:color w:val="auto"/>
                <w:kern w:val="0"/>
                <w:szCs w:val="24"/>
              </w:rPr>
              <w:t>.作业前检查设备设施防护设施、警示标志，确保齐全有效；</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6</w:t>
            </w:r>
            <w:r>
              <w:rPr>
                <w:rFonts w:ascii="宋体" w:hAnsi="宋体" w:eastAsia="宋体" w:cs="Times New Roman"/>
                <w:color w:val="auto"/>
                <w:kern w:val="0"/>
                <w:szCs w:val="24"/>
              </w:rPr>
              <w:t>. 做好现场防火防爆防护，设置消防器材，加强</w:t>
            </w:r>
            <w:r>
              <w:rPr>
                <w:rFonts w:hint="eastAsia" w:ascii="宋体" w:hAnsi="宋体" w:eastAsia="宋体" w:cs="Times New Roman"/>
                <w:color w:val="auto"/>
                <w:kern w:val="0"/>
                <w:szCs w:val="24"/>
              </w:rPr>
              <w:t>防火</w:t>
            </w:r>
            <w:r>
              <w:rPr>
                <w:rFonts w:ascii="宋体" w:hAnsi="宋体" w:eastAsia="宋体" w:cs="Times New Roman"/>
                <w:color w:val="auto"/>
                <w:kern w:val="0"/>
                <w:szCs w:val="24"/>
              </w:rPr>
              <w:t>管理。</w:t>
            </w:r>
          </w:p>
        </w:tc>
        <w:tc>
          <w:tcPr>
            <w:tcW w:w="1594" w:type="pct"/>
            <w:tcBorders>
              <w:bottom w:val="single" w:color="auto" w:sz="4" w:space="0"/>
            </w:tcBorders>
            <w:shd w:val="clear" w:color="auto" w:fill="auto"/>
            <w:vAlign w:val="center"/>
          </w:tcPr>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1.视情况转移伤员或设置警戒区；</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2.积极抢救伤员：如受伤人员出现骨折、休克或昏迷状况，应采取临时包扎止血措施；若受伤者呼吸、脉搏停止，应实施人工呼吸或胸外心脏挤压法抢救；</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3.组织或参与现场救援、交通组织；</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4.</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1" w:type="pct"/>
            <w:gridSpan w:val="3"/>
            <w:tcBorders>
              <w:bottom w:val="single" w:color="auto" w:sz="4" w:space="0"/>
            </w:tcBorders>
            <w:shd w:val="clear" w:color="auto" w:fill="F1F1F1" w:themeFill="background1" w:themeFillShade="F2"/>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应急</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739" w:type="pct"/>
            <w:gridSpan w:val="2"/>
            <w:tcBorders>
              <w:bottom w:val="single" w:color="auto" w:sz="4" w:space="0"/>
            </w:tcBorders>
            <w:shd w:val="clear" w:color="auto" w:fill="F1F1F1" w:themeFill="background1" w:themeFillShade="F2"/>
            <w:vAlign w:val="center"/>
          </w:tcPr>
          <w:p>
            <w:pPr>
              <w:widowControl w:val="0"/>
              <w:spacing w:before="116" w:beforeLines="20"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ascii="宋体" w:hAnsi="宋体" w:eastAsia="宋体" w:cs="Times New Roman"/>
                <w:b/>
                <w:color w:val="auto"/>
                <w:kern w:val="0"/>
                <w:szCs w:val="24"/>
              </w:rPr>
              <w:t>作业小组成员</w:t>
            </w:r>
            <w:r>
              <w:rPr>
                <w:rFonts w:hint="eastAsia" w:ascii="宋体" w:hAnsi="宋体" w:eastAsia="宋体" w:cs="Times New Roman"/>
                <w:b/>
                <w:color w:val="auto"/>
                <w:kern w:val="0"/>
                <w:szCs w:val="24"/>
              </w:rPr>
              <w:t>：</w:t>
            </w:r>
          </w:p>
        </w:tc>
      </w:tr>
    </w:tbl>
    <w:p>
      <w:pPr>
        <w:widowControl w:val="0"/>
        <w:spacing w:after="0" w:line="300" w:lineRule="exact"/>
        <w:ind w:left="0" w:firstLine="632" w:firstLineChars="200"/>
        <w:rPr>
          <w:rFonts w:ascii="华文隶书" w:hAnsi="华文中宋" w:eastAsia="华文隶书"/>
          <w:b/>
          <w:color w:val="000000" w:themeColor="text1"/>
          <w:sz w:val="32"/>
          <w:szCs w:val="32"/>
        </w:rPr>
      </w:pPr>
      <w:r>
        <w:rPr>
          <w:rFonts w:hint="eastAsia" w:ascii="华文隶书" w:hAnsi="华文中宋" w:eastAsia="华文隶书"/>
          <w:b/>
          <w:color w:val="000000" w:themeColor="text1"/>
          <w:sz w:val="32"/>
          <w:szCs w:val="32"/>
        </w:rPr>
        <w:t>安全第一      预防为主                                    防风险     除隐患     遏事故</w:t>
      </w: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养护工区岗位风险告知卡</w:t>
      </w:r>
    </w:p>
    <w:tbl>
      <w:tblPr>
        <w:tblStyle w:val="2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3"/>
        <w:gridCol w:w="1087"/>
        <w:gridCol w:w="1418"/>
        <w:gridCol w:w="6558"/>
        <w:gridCol w:w="4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岗位</w:t>
            </w:r>
            <w:r>
              <w:rPr>
                <w:rFonts w:hint="eastAsia" w:ascii="宋体" w:hAnsi="宋体" w:eastAsia="宋体" w:cs="Times New Roman"/>
                <w:b/>
                <w:color w:val="auto"/>
                <w:kern w:val="0"/>
                <w:szCs w:val="24"/>
              </w:rPr>
              <w:t>：养护管理</w:t>
            </w:r>
          </w:p>
        </w:tc>
        <w:tc>
          <w:tcPr>
            <w:tcW w:w="348"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风险点</w:t>
            </w:r>
          </w:p>
        </w:tc>
        <w:tc>
          <w:tcPr>
            <w:tcW w:w="454"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风险事件</w:t>
            </w:r>
          </w:p>
        </w:tc>
        <w:tc>
          <w:tcPr>
            <w:tcW w:w="2100"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风险管控措施</w:t>
            </w:r>
          </w:p>
        </w:tc>
        <w:tc>
          <w:tcPr>
            <w:tcW w:w="1594"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restart"/>
          </w:tcPr>
          <w:p>
            <w:pPr>
              <w:widowControl w:val="0"/>
              <w:spacing w:before="584" w:beforeLines="100" w:after="292" w:afterLines="5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作业步骤/</w:t>
            </w:r>
            <w:r>
              <w:rPr>
                <w:rFonts w:ascii="宋体" w:hAnsi="宋体" w:eastAsia="宋体" w:cs="Times New Roman"/>
                <w:b/>
                <w:color w:val="auto"/>
                <w:kern w:val="0"/>
                <w:szCs w:val="24"/>
              </w:rPr>
              <w:t>内容</w:t>
            </w:r>
            <w:r>
              <w:rPr>
                <w:rFonts w:hint="eastAsia" w:ascii="宋体" w:hAnsi="宋体" w:eastAsia="宋体" w:cs="Times New Roman"/>
                <w:b/>
                <w:color w:val="auto"/>
                <w:kern w:val="0"/>
                <w:szCs w:val="24"/>
              </w:rPr>
              <w:t>：</w:t>
            </w:r>
          </w:p>
          <w:p>
            <w:pPr>
              <w:widowControl w:val="0"/>
              <w:spacing w:before="584" w:beforeLines="100" w:after="292" w:afterLines="50" w:line="300" w:lineRule="exact"/>
              <w:ind w:left="0" w:firstLine="0"/>
              <w:jc w:val="both"/>
              <w:rPr>
                <w:rFonts w:cs="宋体"/>
                <w:kern w:val="0"/>
                <w:szCs w:val="24"/>
              </w:rPr>
            </w:pPr>
            <w:r>
              <w:rPr>
                <w:rFonts w:hint="eastAsia" w:ascii="宋体" w:hAnsi="宋体" w:eastAsia="宋体" w:cs="Times New Roman"/>
                <w:color w:val="auto"/>
                <w:kern w:val="0"/>
                <w:szCs w:val="24"/>
              </w:rPr>
              <w:t>工区办公、路段巡查、养护作业</w:t>
            </w:r>
          </w:p>
        </w:tc>
        <w:tc>
          <w:tcPr>
            <w:tcW w:w="348" w:type="pct"/>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工区院区、</w:t>
            </w:r>
            <w:r>
              <w:rPr>
                <w:rFonts w:ascii="宋体" w:hAnsi="宋体" w:eastAsia="宋体" w:cs="Times New Roman"/>
                <w:color w:val="auto"/>
                <w:kern w:val="0"/>
                <w:szCs w:val="24"/>
              </w:rPr>
              <w:t>办公室</w:t>
            </w:r>
          </w:p>
        </w:tc>
        <w:tc>
          <w:tcPr>
            <w:tcW w:w="454" w:type="pct"/>
            <w:tcBorders>
              <w:bottom w:val="single" w:color="auto" w:sz="4" w:space="0"/>
            </w:tcBorders>
            <w:shd w:val="clear" w:color="auto" w:fill="3764FF"/>
            <w:vAlign w:val="center"/>
          </w:tcPr>
          <w:p>
            <w:pPr>
              <w:widowControl w:val="0"/>
              <w:spacing w:before="116" w:beforeLines="2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触电</w:t>
            </w:r>
          </w:p>
          <w:p>
            <w:pPr>
              <w:widowControl w:val="0"/>
              <w:spacing w:before="116" w:beforeLines="2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w:t>
            </w:r>
          </w:p>
        </w:tc>
        <w:tc>
          <w:tcPr>
            <w:tcW w:w="2100" w:type="pct"/>
            <w:shd w:val="clear" w:color="auto" w:fill="auto"/>
            <w:vAlign w:val="center"/>
          </w:tcPr>
          <w:p>
            <w:pPr>
              <w:widowControl w:val="0"/>
              <w:spacing w:before="116" w:beforeLines="2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按规定使用电器产品，不得私拉乱接、不得使用不合格电气产品、线路及插座；人走电断；不得私自存放易燃易爆物品；</w:t>
            </w:r>
          </w:p>
          <w:p>
            <w:pPr>
              <w:widowControl w:val="0"/>
              <w:spacing w:before="116" w:beforeLines="2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2.非电气作业人员不得检修电气设备；</w:t>
            </w:r>
          </w:p>
          <w:p>
            <w:pPr>
              <w:widowControl w:val="0"/>
              <w:spacing w:before="116" w:beforeLines="2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3.遵守公司用火、用电安全管理制度。</w:t>
            </w:r>
          </w:p>
        </w:tc>
        <w:tc>
          <w:tcPr>
            <w:tcW w:w="1594" w:type="pct"/>
            <w:shd w:val="clear" w:color="auto" w:fill="auto"/>
            <w:vAlign w:val="center"/>
          </w:tcPr>
          <w:p>
            <w:pPr>
              <w:widowControl w:val="0"/>
              <w:spacing w:before="116" w:beforeLines="2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切断电源，用绝缘物体挑开带电物体；积极抢救伤员：若触电者失去知觉，应使其平卧，以利呼吸；若触电者呼吸、脉搏停止，实施人工呼吸或胸外心脏挤压法抢救；2. 火情较小时使用灭火器灭火，较大时及时疏散至空旷区域3</w:t>
            </w:r>
            <w:r>
              <w:rPr>
                <w:rFonts w:ascii="宋体" w:hAnsi="宋体" w:eastAsia="宋体" w:cs="Times New Roman"/>
                <w:color w:val="auto"/>
                <w:kern w:val="0"/>
                <w:szCs w:val="24"/>
              </w:rPr>
              <w:t>.</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continue"/>
            <w:tcBorders>
              <w:bottom w:val="single" w:color="auto" w:sz="4" w:space="0"/>
            </w:tcBorders>
          </w:tcPr>
          <w:p>
            <w:pPr>
              <w:widowControl w:val="0"/>
              <w:spacing w:after="0" w:line="300" w:lineRule="exact"/>
              <w:ind w:left="0" w:firstLine="0"/>
              <w:jc w:val="center"/>
              <w:rPr>
                <w:rFonts w:ascii="宋体" w:hAnsi="宋体" w:eastAsia="宋体" w:cs="Times New Roman"/>
                <w:color w:val="auto"/>
                <w:kern w:val="0"/>
                <w:szCs w:val="24"/>
              </w:rPr>
            </w:pPr>
          </w:p>
        </w:tc>
        <w:tc>
          <w:tcPr>
            <w:tcW w:w="348" w:type="pct"/>
            <w:tcBorders>
              <w:bottom w:val="single" w:color="auto" w:sz="4" w:space="0"/>
            </w:tcBorders>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路段、收费站</w:t>
            </w:r>
          </w:p>
        </w:tc>
        <w:tc>
          <w:tcPr>
            <w:tcW w:w="454" w:type="pct"/>
            <w:tcBorders>
              <w:bottom w:val="single" w:color="auto" w:sz="4" w:space="0"/>
            </w:tcBorders>
            <w:shd w:val="clear" w:color="auto" w:fill="FAE600"/>
            <w:vAlign w:val="center"/>
          </w:tcPr>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起重伤害</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高处坠落</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物体打击</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火灾爆炸</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其他</w:t>
            </w:r>
          </w:p>
        </w:tc>
        <w:tc>
          <w:tcPr>
            <w:tcW w:w="2100" w:type="pct"/>
            <w:tcBorders>
              <w:bottom w:val="single" w:color="auto" w:sz="4" w:space="0"/>
            </w:tcBorders>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 xml:space="preserve">1.遵守道路交通法规和公司管理制度，不得酒后驾车、巡查； </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2.按照《公路养护作业安全技术规程》设置养护作业区；</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3.按规定穿戴反光服、防滑鞋，注意周边环境和来往车辆。</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4</w:t>
            </w:r>
            <w:r>
              <w:rPr>
                <w:rFonts w:ascii="宋体" w:hAnsi="宋体" w:eastAsia="宋体" w:cs="Times New Roman"/>
                <w:color w:val="auto"/>
                <w:kern w:val="0"/>
                <w:szCs w:val="24"/>
              </w:rPr>
              <w:t>.高处作业人员应穿戴好防滑鞋、安全带；雨雪、雾霾及强风等恶劣天气时，不得进行高处作业、起重作业；</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5</w:t>
            </w:r>
            <w:r>
              <w:rPr>
                <w:rFonts w:ascii="宋体" w:hAnsi="宋体" w:eastAsia="宋体" w:cs="Times New Roman"/>
                <w:color w:val="auto"/>
                <w:kern w:val="0"/>
                <w:szCs w:val="24"/>
              </w:rPr>
              <w:t>.作业前检查设备安全防护设施、警示标志，</w:t>
            </w:r>
            <w:r>
              <w:rPr>
                <w:rFonts w:hint="eastAsia" w:ascii="宋体" w:hAnsi="宋体" w:eastAsia="宋体" w:cs="Times New Roman"/>
                <w:color w:val="auto"/>
                <w:kern w:val="0"/>
                <w:szCs w:val="24"/>
              </w:rPr>
              <w:t>确保</w:t>
            </w:r>
            <w:r>
              <w:rPr>
                <w:rFonts w:ascii="宋体" w:hAnsi="宋体" w:eastAsia="宋体" w:cs="Times New Roman"/>
                <w:color w:val="auto"/>
                <w:kern w:val="0"/>
                <w:szCs w:val="24"/>
              </w:rPr>
              <w:t>齐全有效；</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6</w:t>
            </w:r>
            <w:r>
              <w:rPr>
                <w:rFonts w:ascii="宋体" w:hAnsi="宋体" w:eastAsia="宋体" w:cs="Times New Roman"/>
                <w:color w:val="auto"/>
                <w:kern w:val="0"/>
                <w:szCs w:val="24"/>
              </w:rPr>
              <w:t>.做好现场防火防爆，设置消防器材，加强</w:t>
            </w:r>
            <w:r>
              <w:rPr>
                <w:rFonts w:hint="eastAsia" w:ascii="宋体" w:hAnsi="宋体" w:eastAsia="宋体" w:cs="Times New Roman"/>
                <w:color w:val="auto"/>
                <w:kern w:val="0"/>
                <w:szCs w:val="24"/>
              </w:rPr>
              <w:t>防火</w:t>
            </w:r>
            <w:r>
              <w:rPr>
                <w:rFonts w:ascii="宋体" w:hAnsi="宋体" w:eastAsia="宋体" w:cs="Times New Roman"/>
                <w:color w:val="auto"/>
                <w:kern w:val="0"/>
                <w:szCs w:val="24"/>
              </w:rPr>
              <w:t>安全管理。</w:t>
            </w:r>
          </w:p>
        </w:tc>
        <w:tc>
          <w:tcPr>
            <w:tcW w:w="1594" w:type="pct"/>
            <w:tcBorders>
              <w:bottom w:val="single" w:color="auto" w:sz="4" w:space="0"/>
            </w:tcBorders>
            <w:shd w:val="clear" w:color="auto" w:fill="auto"/>
            <w:vAlign w:val="center"/>
          </w:tcPr>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1.视情况转移伤员或设置警戒区；</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2.积极抢救伤员：如受伤人员出现骨折、休克或昏迷状况，应采取临时包扎止血措施；若受伤者呼吸、脉搏停止，应实施人工呼吸或胸外心脏挤压法抢救；</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3.组织或参与现场救援、交通组织；</w:t>
            </w:r>
          </w:p>
          <w:p>
            <w:pPr>
              <w:widowControl w:val="0"/>
              <w:spacing w:before="292" w:beforeLines="50" w:after="0" w:line="300" w:lineRule="exact"/>
              <w:ind w:left="0" w:firstLine="0"/>
              <w:jc w:val="left"/>
              <w:rPr>
                <w:rFonts w:ascii="宋体" w:hAnsi="宋体" w:eastAsia="宋体" w:cs="Times New Roman"/>
                <w:color w:val="auto"/>
                <w:kern w:val="0"/>
                <w:szCs w:val="24"/>
              </w:rPr>
            </w:pPr>
            <w:r>
              <w:rPr>
                <w:rFonts w:ascii="宋体" w:hAnsi="宋体" w:eastAsia="宋体" w:cs="Times New Roman"/>
                <w:color w:val="auto"/>
                <w:kern w:val="0"/>
                <w:szCs w:val="24"/>
              </w:rPr>
              <w:t>4.</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pct"/>
            <w:gridSpan w:val="3"/>
            <w:tcBorders>
              <w:bottom w:val="single" w:color="auto" w:sz="4" w:space="0"/>
            </w:tcBorders>
            <w:shd w:val="clear" w:color="auto" w:fill="F1F1F1" w:themeFill="background1" w:themeFillShade="F2"/>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应急</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694" w:type="pct"/>
            <w:gridSpan w:val="2"/>
            <w:tcBorders>
              <w:bottom w:val="single" w:color="auto" w:sz="4" w:space="0"/>
            </w:tcBorders>
            <w:shd w:val="clear" w:color="auto" w:fill="F1F1F1" w:themeFill="background1" w:themeFillShade="F2"/>
            <w:vAlign w:val="center"/>
          </w:tcPr>
          <w:p>
            <w:pPr>
              <w:widowControl w:val="0"/>
              <w:spacing w:before="116" w:beforeLines="20"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ascii="宋体" w:hAnsi="宋体" w:eastAsia="宋体" w:cs="Times New Roman"/>
                <w:b/>
                <w:color w:val="auto"/>
                <w:kern w:val="0"/>
                <w:szCs w:val="24"/>
              </w:rPr>
              <w:t>作业小组成员</w:t>
            </w:r>
            <w:r>
              <w:rPr>
                <w:rFonts w:hint="eastAsia" w:ascii="宋体" w:hAnsi="宋体" w:eastAsia="宋体" w:cs="Times New Roman"/>
                <w:b/>
                <w:color w:val="auto"/>
                <w:kern w:val="0"/>
                <w:szCs w:val="24"/>
              </w:rPr>
              <w:t>：</w:t>
            </w:r>
          </w:p>
        </w:tc>
      </w:tr>
    </w:tbl>
    <w:p>
      <w:pPr>
        <w:widowControl w:val="0"/>
        <w:spacing w:after="0" w:line="560" w:lineRule="exact"/>
        <w:ind w:left="0" w:firstLine="632" w:firstLineChars="200"/>
        <w:rPr>
          <w:rFonts w:ascii="华文隶书" w:hAnsi="华文中宋" w:eastAsia="华文隶书"/>
          <w:b/>
          <w:color w:val="000000" w:themeColor="text1"/>
          <w:sz w:val="32"/>
          <w:szCs w:val="32"/>
        </w:rPr>
      </w:pPr>
      <w:r>
        <w:rPr>
          <w:rFonts w:hint="eastAsia" w:ascii="华文隶书" w:hAnsi="华文中宋" w:eastAsia="华文隶书"/>
          <w:b/>
          <w:color w:val="000000" w:themeColor="text1"/>
          <w:sz w:val="32"/>
          <w:szCs w:val="32"/>
        </w:rPr>
        <w:t>安全第一      预防为主                                   防风险     除隐患     遏事故</w:t>
      </w:r>
    </w:p>
    <w:p>
      <w:pPr>
        <w:widowControl w:val="0"/>
        <w:spacing w:after="0" w:line="240" w:lineRule="auto"/>
        <w:ind w:left="0" w:firstLine="0"/>
        <w:jc w:val="center"/>
        <w:rPr>
          <w:rFonts w:ascii="华文中宋" w:hAnsi="华文中宋" w:eastAsia="华文中宋" w:cs="Times New Roman"/>
          <w:color w:val="auto"/>
          <w:sz w:val="28"/>
        </w:rPr>
      </w:pP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养护工区岗位风险告知卡</w:t>
      </w:r>
    </w:p>
    <w:tbl>
      <w:tblPr>
        <w:tblStyle w:val="2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3"/>
        <w:gridCol w:w="878"/>
        <w:gridCol w:w="1627"/>
        <w:gridCol w:w="6555"/>
        <w:gridCol w:w="4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岗位</w:t>
            </w:r>
            <w:r>
              <w:rPr>
                <w:rFonts w:hint="eastAsia" w:ascii="宋体" w:hAnsi="宋体" w:eastAsia="宋体" w:cs="Times New Roman"/>
                <w:b/>
                <w:color w:val="auto"/>
                <w:kern w:val="0"/>
                <w:szCs w:val="24"/>
              </w:rPr>
              <w:t>：机械设备管理</w:t>
            </w:r>
          </w:p>
        </w:tc>
        <w:tc>
          <w:tcPr>
            <w:tcW w:w="281"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风险点</w:t>
            </w:r>
          </w:p>
        </w:tc>
        <w:tc>
          <w:tcPr>
            <w:tcW w:w="521"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风险事件</w:t>
            </w:r>
          </w:p>
        </w:tc>
        <w:tc>
          <w:tcPr>
            <w:tcW w:w="2099"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风险管控措施</w:t>
            </w:r>
          </w:p>
        </w:tc>
        <w:tc>
          <w:tcPr>
            <w:tcW w:w="1595"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restart"/>
          </w:tcPr>
          <w:p>
            <w:pPr>
              <w:widowControl w:val="0"/>
              <w:spacing w:before="584" w:beforeLines="100" w:after="292" w:afterLines="5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作业步骤/</w:t>
            </w:r>
            <w:r>
              <w:rPr>
                <w:rFonts w:ascii="宋体" w:hAnsi="宋体" w:eastAsia="宋体" w:cs="Times New Roman"/>
                <w:b/>
                <w:color w:val="auto"/>
                <w:kern w:val="0"/>
                <w:szCs w:val="24"/>
              </w:rPr>
              <w:t>内容</w:t>
            </w:r>
            <w:r>
              <w:rPr>
                <w:rFonts w:hint="eastAsia" w:ascii="宋体" w:hAnsi="宋体" w:eastAsia="宋体" w:cs="Times New Roman"/>
                <w:b/>
                <w:color w:val="auto"/>
                <w:kern w:val="0"/>
                <w:szCs w:val="24"/>
              </w:rPr>
              <w:t>：</w:t>
            </w:r>
          </w:p>
          <w:p>
            <w:pPr>
              <w:widowControl w:val="0"/>
              <w:spacing w:before="584" w:beforeLines="100" w:after="292" w:afterLines="50" w:line="300" w:lineRule="exact"/>
              <w:ind w:left="0" w:firstLine="0"/>
              <w:jc w:val="both"/>
              <w:rPr>
                <w:rFonts w:cs="宋体"/>
                <w:kern w:val="0"/>
                <w:szCs w:val="24"/>
              </w:rPr>
            </w:pPr>
            <w:r>
              <w:rPr>
                <w:rFonts w:hint="eastAsia" w:ascii="宋体" w:hAnsi="宋体" w:eastAsia="宋体" w:cs="Times New Roman"/>
                <w:color w:val="auto"/>
                <w:kern w:val="0"/>
                <w:szCs w:val="24"/>
              </w:rPr>
              <w:t>工区办公、设备物资巡查、检修等作业</w:t>
            </w:r>
          </w:p>
        </w:tc>
        <w:tc>
          <w:tcPr>
            <w:tcW w:w="281" w:type="pct"/>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工区院区、</w:t>
            </w:r>
            <w:r>
              <w:rPr>
                <w:rFonts w:ascii="宋体" w:hAnsi="宋体" w:eastAsia="宋体" w:cs="Times New Roman"/>
                <w:color w:val="auto"/>
                <w:kern w:val="0"/>
                <w:szCs w:val="24"/>
              </w:rPr>
              <w:t>办公室</w:t>
            </w:r>
          </w:p>
        </w:tc>
        <w:tc>
          <w:tcPr>
            <w:tcW w:w="521" w:type="pct"/>
            <w:tcBorders>
              <w:bottom w:val="single" w:color="auto" w:sz="4" w:space="0"/>
            </w:tcBorders>
            <w:shd w:val="clear" w:color="auto" w:fill="3764FF"/>
            <w:vAlign w:val="center"/>
          </w:tcPr>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ascii="宋体" w:hAnsi="宋体" w:eastAsia="宋体" w:cs="Times New Roman"/>
                <w:b/>
                <w:color w:val="auto"/>
                <w:kern w:val="0"/>
                <w:sz w:val="28"/>
                <w:szCs w:val="24"/>
              </w:rPr>
              <w:t>触电</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ascii="宋体" w:hAnsi="宋体" w:eastAsia="宋体" w:cs="Times New Roman"/>
                <w:b/>
                <w:color w:val="auto"/>
                <w:kern w:val="0"/>
                <w:sz w:val="28"/>
                <w:szCs w:val="24"/>
              </w:rPr>
              <w:t>火灾</w:t>
            </w:r>
          </w:p>
        </w:tc>
        <w:tc>
          <w:tcPr>
            <w:tcW w:w="2099" w:type="pct"/>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按规定使用电器产品，不得私拉乱接、不得使用不合格电气产品、线路及插座；人走电断；不得私自存放易燃易爆物品；</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2.非电气作业人员不得检修电气设备；</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3.遵守公司用火、用电安全管理制度。</w:t>
            </w:r>
          </w:p>
        </w:tc>
        <w:tc>
          <w:tcPr>
            <w:tcW w:w="1595" w:type="pct"/>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切断电源，用绝缘物体挑开带电物体；积极抢救伤员：若触电者失去知觉，应使其平卧，以利呼吸；若触电者呼吸、脉搏停止，实施人工呼吸或胸外心脏挤压法抢救；</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2.火情较小时使用灭火器灭火，较大时及时疏散至空旷区域</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w:t>
            </w:r>
            <w:r>
              <w:rPr>
                <w:rFonts w:ascii="宋体" w:hAnsi="宋体" w:eastAsia="宋体" w:cs="Times New Roman"/>
                <w:color w:val="auto"/>
                <w:kern w:val="0"/>
                <w:szCs w:val="24"/>
              </w:rPr>
              <w:t>.</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continue"/>
            <w:tcBorders>
              <w:bottom w:val="single" w:color="auto" w:sz="4" w:space="0"/>
            </w:tcBorders>
          </w:tcPr>
          <w:p>
            <w:pPr>
              <w:widowControl w:val="0"/>
              <w:spacing w:after="0" w:line="300" w:lineRule="exact"/>
              <w:ind w:left="0" w:firstLine="0"/>
              <w:jc w:val="center"/>
              <w:rPr>
                <w:rFonts w:ascii="宋体" w:hAnsi="宋体" w:eastAsia="宋体" w:cs="Times New Roman"/>
                <w:color w:val="auto"/>
                <w:kern w:val="0"/>
                <w:szCs w:val="24"/>
              </w:rPr>
            </w:pPr>
          </w:p>
        </w:tc>
        <w:tc>
          <w:tcPr>
            <w:tcW w:w="281" w:type="pct"/>
            <w:tcBorders>
              <w:bottom w:val="single" w:color="auto" w:sz="4" w:space="0"/>
            </w:tcBorders>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设备物资库房</w:t>
            </w:r>
          </w:p>
        </w:tc>
        <w:tc>
          <w:tcPr>
            <w:tcW w:w="521" w:type="pct"/>
            <w:tcBorders>
              <w:bottom w:val="single" w:color="auto" w:sz="4" w:space="0"/>
            </w:tcBorders>
            <w:shd w:val="clear" w:color="auto" w:fill="FAE600"/>
            <w:vAlign w:val="center"/>
          </w:tcPr>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ascii="宋体" w:hAnsi="宋体" w:eastAsia="宋体" w:cs="Times New Roman"/>
                <w:b/>
                <w:color w:val="auto"/>
                <w:kern w:val="0"/>
                <w:sz w:val="28"/>
                <w:szCs w:val="24"/>
              </w:rPr>
              <w:t>车辆伤害</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机械伤害</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物体打击</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火灾爆炸</w:t>
            </w:r>
          </w:p>
        </w:tc>
        <w:tc>
          <w:tcPr>
            <w:tcW w:w="2099" w:type="pct"/>
            <w:tcBorders>
              <w:bottom w:val="single" w:color="auto" w:sz="4" w:space="0"/>
            </w:tcBorders>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1.库房入口应宽敞，出入库及检修时设专人指挥，控制车辆出入库速度；</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2.按规定对车辆、养护设备进行维修保养，禁止车辆带病上路；</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3.设备及物资摆放牢固，库内气瓶分区存放，加强库区消防安全管理；</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4.作业时使用合格作业工具和个人防护用品，高处物品应放置稳妥。</w:t>
            </w:r>
          </w:p>
        </w:tc>
        <w:tc>
          <w:tcPr>
            <w:tcW w:w="1595" w:type="pct"/>
            <w:tcBorders>
              <w:bottom w:val="single" w:color="auto" w:sz="4" w:space="0"/>
            </w:tcBorders>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1.视情况转移伤员或设置警戒区；</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2.积极抢救伤员：如出现骨折、休克或昏迷状况，采取临时包扎止血措施；若呼吸、脉搏停止，应实施人工呼吸或胸外心脏挤压法抢救；</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3.积极组织或参与现场救援、交通组织；</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4.</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pct"/>
            <w:gridSpan w:val="3"/>
            <w:tcBorders>
              <w:bottom w:val="single" w:color="auto" w:sz="4" w:space="0"/>
            </w:tcBorders>
            <w:shd w:val="clear" w:color="auto" w:fill="F1F1F1" w:themeFill="background1" w:themeFillShade="F2"/>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应急</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694" w:type="pct"/>
            <w:gridSpan w:val="2"/>
            <w:tcBorders>
              <w:bottom w:val="single" w:color="auto" w:sz="4" w:space="0"/>
            </w:tcBorders>
            <w:shd w:val="clear" w:color="auto" w:fill="F1F1F1" w:themeFill="background1" w:themeFillShade="F2"/>
            <w:vAlign w:val="center"/>
          </w:tcPr>
          <w:p>
            <w:pPr>
              <w:widowControl w:val="0"/>
              <w:spacing w:before="116" w:beforeLines="20"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ascii="宋体" w:hAnsi="宋体" w:eastAsia="宋体" w:cs="Times New Roman"/>
                <w:b/>
                <w:color w:val="auto"/>
                <w:kern w:val="0"/>
                <w:szCs w:val="24"/>
              </w:rPr>
              <w:t>作业小组成员签名</w:t>
            </w:r>
            <w:r>
              <w:rPr>
                <w:rFonts w:hint="eastAsia" w:ascii="宋体" w:hAnsi="宋体" w:eastAsia="宋体" w:cs="Times New Roman"/>
                <w:b/>
                <w:color w:val="auto"/>
                <w:kern w:val="0"/>
                <w:szCs w:val="24"/>
              </w:rPr>
              <w:t>：</w:t>
            </w:r>
          </w:p>
        </w:tc>
      </w:tr>
    </w:tbl>
    <w:p>
      <w:pPr>
        <w:widowControl w:val="0"/>
        <w:spacing w:after="0" w:line="300" w:lineRule="exact"/>
        <w:ind w:left="0" w:firstLine="632" w:firstLineChars="200"/>
        <w:rPr>
          <w:rFonts w:ascii="华文隶书" w:hAnsi="华文中宋" w:eastAsia="华文隶书"/>
          <w:b/>
          <w:color w:val="000000" w:themeColor="text1"/>
          <w:sz w:val="32"/>
          <w:szCs w:val="32"/>
        </w:rPr>
      </w:pPr>
      <w:r>
        <w:rPr>
          <w:rFonts w:hint="eastAsia" w:ascii="华文隶书" w:hAnsi="华文中宋" w:eastAsia="华文隶书"/>
          <w:b/>
          <w:color w:val="000000" w:themeColor="text1"/>
          <w:sz w:val="32"/>
          <w:szCs w:val="32"/>
        </w:rPr>
        <w:t>安全第一      预防为主                               防风险     除隐患     遏事故</w:t>
      </w:r>
    </w:p>
    <w:p>
      <w:pPr>
        <w:spacing w:after="0" w:line="240" w:lineRule="auto"/>
        <w:ind w:left="0" w:firstLine="0"/>
        <w:rPr>
          <w:rFonts w:cs="Calibri" w:asciiTheme="minorEastAsia" w:hAnsiTheme="minorEastAsia" w:eastAsiaTheme="minorEastAsia"/>
          <w:b/>
          <w:sz w:val="28"/>
          <w:szCs w:val="24"/>
        </w:rPr>
      </w:pPr>
      <w:r>
        <w:rPr>
          <w:rFonts w:cs="Calibri" w:asciiTheme="minorEastAsia" w:hAnsiTheme="minorEastAsia" w:eastAsiaTheme="minorEastAsia"/>
          <w:b/>
          <w:sz w:val="28"/>
          <w:szCs w:val="24"/>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养护工区岗位风险告知卡</w:t>
      </w:r>
    </w:p>
    <w:tbl>
      <w:tblPr>
        <w:tblStyle w:val="29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3"/>
        <w:gridCol w:w="878"/>
        <w:gridCol w:w="1627"/>
        <w:gridCol w:w="6555"/>
        <w:gridCol w:w="4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岗位</w:t>
            </w:r>
            <w:r>
              <w:rPr>
                <w:rFonts w:hint="eastAsia" w:ascii="宋体" w:hAnsi="宋体" w:eastAsia="宋体" w:cs="Times New Roman"/>
                <w:b/>
                <w:color w:val="auto"/>
                <w:kern w:val="0"/>
                <w:szCs w:val="24"/>
              </w:rPr>
              <w:t>：综合管理</w:t>
            </w:r>
          </w:p>
        </w:tc>
        <w:tc>
          <w:tcPr>
            <w:tcW w:w="281"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风险点</w:t>
            </w:r>
          </w:p>
        </w:tc>
        <w:tc>
          <w:tcPr>
            <w:tcW w:w="521"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风险事件</w:t>
            </w:r>
          </w:p>
        </w:tc>
        <w:tc>
          <w:tcPr>
            <w:tcW w:w="2099"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风险管控措施</w:t>
            </w:r>
          </w:p>
        </w:tc>
        <w:tc>
          <w:tcPr>
            <w:tcW w:w="1595" w:type="pct"/>
            <w:tcBorders>
              <w:bottom w:val="single" w:color="auto" w:sz="4" w:space="0"/>
            </w:tcBorders>
            <w:shd w:val="clear" w:color="auto" w:fill="F1F1F1" w:themeFill="background1" w:themeFillShade="F2"/>
            <w:vAlign w:val="center"/>
          </w:tcPr>
          <w:p>
            <w:pPr>
              <w:widowControl w:val="0"/>
              <w:spacing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restart"/>
          </w:tcPr>
          <w:p>
            <w:pPr>
              <w:widowControl w:val="0"/>
              <w:spacing w:before="584" w:beforeLines="100" w:after="292" w:afterLines="5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作业步骤/</w:t>
            </w:r>
            <w:r>
              <w:rPr>
                <w:rFonts w:ascii="宋体" w:hAnsi="宋体" w:eastAsia="宋体" w:cs="Times New Roman"/>
                <w:b/>
                <w:color w:val="auto"/>
                <w:kern w:val="0"/>
                <w:szCs w:val="24"/>
              </w:rPr>
              <w:t>内容</w:t>
            </w:r>
            <w:r>
              <w:rPr>
                <w:rFonts w:hint="eastAsia" w:ascii="宋体" w:hAnsi="宋体" w:eastAsia="宋体" w:cs="Times New Roman"/>
                <w:b/>
                <w:color w:val="auto"/>
                <w:kern w:val="0"/>
                <w:szCs w:val="24"/>
              </w:rPr>
              <w:t>：</w:t>
            </w:r>
          </w:p>
          <w:p>
            <w:pPr>
              <w:widowControl w:val="0"/>
              <w:spacing w:before="584" w:beforeLines="100" w:after="292" w:afterLines="50" w:line="300" w:lineRule="exact"/>
              <w:ind w:left="0" w:firstLine="0"/>
              <w:jc w:val="both"/>
              <w:rPr>
                <w:rFonts w:cs="宋体"/>
                <w:kern w:val="0"/>
                <w:szCs w:val="24"/>
              </w:rPr>
            </w:pPr>
            <w:r>
              <w:rPr>
                <w:rFonts w:hint="eastAsia" w:ascii="宋体" w:hAnsi="宋体" w:eastAsia="宋体" w:cs="Times New Roman"/>
                <w:color w:val="auto"/>
                <w:kern w:val="0"/>
                <w:szCs w:val="24"/>
              </w:rPr>
              <w:t>工区办公、巡查应急作业</w:t>
            </w:r>
          </w:p>
        </w:tc>
        <w:tc>
          <w:tcPr>
            <w:tcW w:w="281" w:type="pct"/>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工区院区、</w:t>
            </w:r>
            <w:r>
              <w:rPr>
                <w:rFonts w:ascii="宋体" w:hAnsi="宋体" w:eastAsia="宋体" w:cs="Times New Roman"/>
                <w:color w:val="auto"/>
                <w:kern w:val="0"/>
                <w:szCs w:val="24"/>
              </w:rPr>
              <w:t>办公室</w:t>
            </w:r>
          </w:p>
        </w:tc>
        <w:tc>
          <w:tcPr>
            <w:tcW w:w="521" w:type="pct"/>
            <w:tcBorders>
              <w:bottom w:val="single" w:color="auto" w:sz="4" w:space="0"/>
            </w:tcBorders>
            <w:shd w:val="clear" w:color="auto" w:fill="3764FF"/>
            <w:vAlign w:val="center"/>
          </w:tcPr>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ascii="宋体" w:hAnsi="宋体" w:eastAsia="宋体" w:cs="Times New Roman"/>
                <w:b/>
                <w:color w:val="auto"/>
                <w:kern w:val="0"/>
                <w:sz w:val="28"/>
                <w:szCs w:val="24"/>
              </w:rPr>
              <w:t>触电</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ascii="宋体" w:hAnsi="宋体" w:eastAsia="宋体" w:cs="Times New Roman"/>
                <w:b/>
                <w:color w:val="auto"/>
                <w:kern w:val="0"/>
                <w:sz w:val="28"/>
                <w:szCs w:val="24"/>
              </w:rPr>
              <w:t>火灾</w:t>
            </w:r>
          </w:p>
        </w:tc>
        <w:tc>
          <w:tcPr>
            <w:tcW w:w="2099" w:type="pct"/>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按规定使用电器产品，不得私拉乱接、不得使用不合格电气产品、线路及插座；人走电断；不得私自存放易燃易爆物品；</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2.非电气作业人员不得检修电气设备；</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3.遵守公司用火、用电安全管理制度。</w:t>
            </w:r>
          </w:p>
        </w:tc>
        <w:tc>
          <w:tcPr>
            <w:tcW w:w="1595" w:type="pct"/>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切断电源，用绝缘物体挑开带电物体；积极抢救伤员：若触电者失去知觉，应使其平卧，以利呼吸；若触电者呼吸、脉搏停止，实施人工呼吸或胸外心脏挤压法抢救；</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2.火情较小时使用灭火器灭火，较大时及时疏散至空旷区域</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w:t>
            </w:r>
            <w:r>
              <w:rPr>
                <w:rFonts w:ascii="宋体" w:hAnsi="宋体" w:eastAsia="宋体" w:cs="Times New Roman"/>
                <w:color w:val="auto"/>
                <w:kern w:val="0"/>
                <w:szCs w:val="24"/>
              </w:rPr>
              <w:t>.</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4" w:type="pct"/>
            <w:vMerge w:val="continue"/>
            <w:tcBorders>
              <w:bottom w:val="single" w:color="auto" w:sz="4" w:space="0"/>
            </w:tcBorders>
          </w:tcPr>
          <w:p>
            <w:pPr>
              <w:widowControl w:val="0"/>
              <w:spacing w:after="0" w:line="300" w:lineRule="exact"/>
              <w:ind w:left="0" w:firstLine="0"/>
              <w:jc w:val="center"/>
              <w:rPr>
                <w:rFonts w:ascii="宋体" w:hAnsi="宋体" w:eastAsia="宋体" w:cs="Times New Roman"/>
                <w:color w:val="auto"/>
                <w:kern w:val="0"/>
                <w:szCs w:val="24"/>
              </w:rPr>
            </w:pPr>
          </w:p>
        </w:tc>
        <w:tc>
          <w:tcPr>
            <w:tcW w:w="281" w:type="pct"/>
            <w:tcBorders>
              <w:bottom w:val="single" w:color="auto" w:sz="4" w:space="0"/>
            </w:tcBorders>
            <w:shd w:val="clear" w:color="auto" w:fill="auto"/>
            <w:vAlign w:val="center"/>
          </w:tcPr>
          <w:p>
            <w:pPr>
              <w:widowControl w:val="0"/>
              <w:spacing w:before="116" w:beforeLines="20" w:after="0" w:line="300" w:lineRule="exact"/>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路段、库房</w:t>
            </w:r>
          </w:p>
        </w:tc>
        <w:tc>
          <w:tcPr>
            <w:tcW w:w="521" w:type="pct"/>
            <w:tcBorders>
              <w:bottom w:val="single" w:color="auto" w:sz="4" w:space="0"/>
            </w:tcBorders>
            <w:shd w:val="clear" w:color="auto" w:fill="FAE600"/>
            <w:vAlign w:val="center"/>
          </w:tcPr>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ascii="宋体" w:hAnsi="宋体" w:eastAsia="宋体" w:cs="Times New Roman"/>
                <w:b/>
                <w:color w:val="auto"/>
                <w:kern w:val="0"/>
                <w:sz w:val="28"/>
                <w:szCs w:val="24"/>
              </w:rPr>
              <w:t>车辆伤害</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机械伤害</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物体打击</w:t>
            </w:r>
          </w:p>
          <w:p>
            <w:pPr>
              <w:widowControl w:val="0"/>
              <w:spacing w:before="292" w:beforeLines="50" w:after="0" w:line="30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火灾爆炸</w:t>
            </w:r>
          </w:p>
        </w:tc>
        <w:tc>
          <w:tcPr>
            <w:tcW w:w="2099" w:type="pct"/>
            <w:tcBorders>
              <w:bottom w:val="single" w:color="auto" w:sz="4" w:space="0"/>
            </w:tcBorders>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1.按规定穿戴反光服、防滑鞋；</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2.不得酒后驾车、上路检查。</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3.注意观察周边环境和来往车辆；</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4.遵守道路交通安全法规和公司安全管理制度，服从现场人员安全指挥，不得随意停车及横穿车道。</w:t>
            </w:r>
          </w:p>
        </w:tc>
        <w:tc>
          <w:tcPr>
            <w:tcW w:w="1595" w:type="pct"/>
            <w:tcBorders>
              <w:bottom w:val="single" w:color="auto" w:sz="4" w:space="0"/>
            </w:tcBorders>
            <w:shd w:val="clear" w:color="auto" w:fill="auto"/>
            <w:vAlign w:val="center"/>
          </w:tcPr>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1.视情况转移伤员或设置警戒区；</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2.积极抢救伤员：如出现骨折、休克或昏迷状况，采取临时包扎止血措施；若呼吸、脉搏停止，应实施人工呼吸或胸外心脏挤压法抢救；</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3.积极组织或参与现场救援、交通组织；</w:t>
            </w:r>
          </w:p>
          <w:p>
            <w:pPr>
              <w:widowControl w:val="0"/>
              <w:spacing w:before="292" w:beforeLines="50" w:after="0" w:line="30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4.</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06" w:type="pct"/>
            <w:gridSpan w:val="3"/>
            <w:tcBorders>
              <w:bottom w:val="single" w:color="auto" w:sz="4" w:space="0"/>
            </w:tcBorders>
            <w:shd w:val="clear" w:color="auto" w:fill="F1F1F1" w:themeFill="background1" w:themeFillShade="F2"/>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应急</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694" w:type="pct"/>
            <w:gridSpan w:val="2"/>
            <w:tcBorders>
              <w:bottom w:val="single" w:color="auto" w:sz="4" w:space="0"/>
            </w:tcBorders>
            <w:shd w:val="clear" w:color="auto" w:fill="F1F1F1" w:themeFill="background1" w:themeFillShade="F2"/>
            <w:vAlign w:val="center"/>
          </w:tcPr>
          <w:p>
            <w:pPr>
              <w:widowControl w:val="0"/>
              <w:spacing w:before="116" w:beforeLines="20" w:after="0" w:line="300" w:lineRule="exact"/>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116" w:beforeLines="20" w:after="0" w:line="300" w:lineRule="exact"/>
              <w:ind w:left="0" w:firstLine="0"/>
              <w:jc w:val="left"/>
              <w:rPr>
                <w:rFonts w:ascii="宋体" w:hAnsi="宋体" w:eastAsia="宋体" w:cs="Times New Roman"/>
                <w:b/>
                <w:color w:val="auto"/>
                <w:kern w:val="0"/>
                <w:szCs w:val="24"/>
              </w:rPr>
            </w:pPr>
            <w:r>
              <w:rPr>
                <w:rFonts w:ascii="宋体" w:hAnsi="宋体" w:eastAsia="宋体" w:cs="Times New Roman"/>
                <w:b/>
                <w:color w:val="auto"/>
                <w:kern w:val="0"/>
                <w:szCs w:val="24"/>
              </w:rPr>
              <w:t>作业小组成员</w:t>
            </w:r>
            <w:r>
              <w:rPr>
                <w:rFonts w:hint="eastAsia" w:ascii="宋体" w:hAnsi="宋体" w:eastAsia="宋体" w:cs="Times New Roman"/>
                <w:b/>
                <w:color w:val="auto"/>
                <w:kern w:val="0"/>
                <w:szCs w:val="24"/>
              </w:rPr>
              <w:t>：</w:t>
            </w:r>
          </w:p>
        </w:tc>
      </w:tr>
    </w:tbl>
    <w:p>
      <w:pPr>
        <w:widowControl w:val="0"/>
        <w:spacing w:after="0" w:line="240" w:lineRule="auto"/>
        <w:ind w:left="0" w:firstLine="0"/>
        <w:jc w:val="center"/>
        <w:rPr>
          <w:rFonts w:ascii="华文中宋" w:hAnsi="华文中宋" w:eastAsia="华文中宋" w:cs="Times New Roman"/>
          <w:color w:val="auto"/>
          <w:sz w:val="28"/>
        </w:rPr>
      </w:pPr>
    </w:p>
    <w:p>
      <w:pPr>
        <w:widowControl w:val="0"/>
        <w:spacing w:after="0" w:line="240" w:lineRule="auto"/>
        <w:ind w:left="0" w:firstLine="0"/>
        <w:jc w:val="center"/>
        <w:rPr>
          <w:rFonts w:ascii="华文中宋" w:hAnsi="华文中宋" w:eastAsia="华文中宋" w:cs="Times New Roman"/>
          <w:color w:val="auto"/>
          <w:sz w:val="28"/>
        </w:rPr>
      </w:pPr>
    </w:p>
    <w:p>
      <w:pPr>
        <w:widowControl w:val="0"/>
        <w:spacing w:after="0" w:line="300" w:lineRule="exact"/>
        <w:ind w:left="0" w:firstLine="552" w:firstLineChars="200"/>
        <w:rPr>
          <w:rFonts w:cs="Calibri" w:asciiTheme="minorEastAsia" w:hAnsiTheme="minorEastAsia" w:eastAsiaTheme="minorEastAsia"/>
          <w:b/>
          <w:sz w:val="28"/>
          <w:szCs w:val="24"/>
        </w:rPr>
        <w:sectPr>
          <w:headerReference r:id="rId11" w:type="default"/>
          <w:footerReference r:id="rId12" w:type="default"/>
          <w:pgSz w:w="16838" w:h="11906" w:orient="landscape"/>
          <w:pgMar w:top="720" w:right="720" w:bottom="720" w:left="720" w:header="567" w:footer="283" w:gutter="0"/>
          <w:cols w:space="720" w:num="1"/>
          <w:docGrid w:type="linesAndChars" w:linePitch="584" w:charSpace="-849"/>
        </w:sectPr>
      </w:pPr>
    </w:p>
    <w:p>
      <w:pPr>
        <w:widowControl w:val="0"/>
        <w:spacing w:after="0" w:line="360" w:lineRule="auto"/>
        <w:ind w:left="0" w:firstLine="0"/>
        <w:jc w:val="center"/>
        <w:outlineLvl w:val="0"/>
        <w:rPr>
          <w:rFonts w:cs="Calibri" w:asciiTheme="minorEastAsia" w:hAnsiTheme="minorEastAsia" w:eastAsiaTheme="minorEastAsia"/>
          <w:b/>
          <w:sz w:val="36"/>
          <w:szCs w:val="24"/>
        </w:rPr>
      </w:pPr>
      <w:bookmarkStart w:id="37" w:name="_Toc105769803"/>
      <w:bookmarkStart w:id="38" w:name="_Toc43030404"/>
      <w:r>
        <w:rPr>
          <w:rFonts w:hint="eastAsia" w:cs="Calibri" w:asciiTheme="minorEastAsia" w:hAnsiTheme="minorEastAsia" w:eastAsiaTheme="minorEastAsia"/>
          <w:b/>
          <w:sz w:val="32"/>
          <w:szCs w:val="24"/>
        </w:rPr>
        <w:t>第三章 隐患排查治理</w:t>
      </w:r>
      <w:bookmarkEnd w:id="37"/>
      <w:bookmarkEnd w:id="38"/>
    </w:p>
    <w:bookmarkEnd w:id="23"/>
    <w:bookmarkEnd w:id="24"/>
    <w:p>
      <w:pPr>
        <w:widowControl w:val="0"/>
        <w:spacing w:before="292" w:beforeLines="50" w:after="292" w:afterLines="50" w:line="560" w:lineRule="exact"/>
        <w:ind w:left="0" w:hanging="11"/>
        <w:outlineLvl w:val="1"/>
        <w:rPr>
          <w:rFonts w:cs="Calibri" w:asciiTheme="minorEastAsia" w:hAnsiTheme="minorEastAsia" w:eastAsiaTheme="minorEastAsia"/>
          <w:b/>
          <w:color w:val="auto"/>
          <w:sz w:val="28"/>
          <w:szCs w:val="24"/>
        </w:rPr>
      </w:pPr>
      <w:bookmarkStart w:id="39" w:name="_Toc104720411"/>
      <w:bookmarkStart w:id="40" w:name="_Toc105769804"/>
      <w:bookmarkStart w:id="41" w:name="_Toc43030405"/>
      <w:r>
        <w:rPr>
          <w:rFonts w:hint="eastAsia" w:cs="Calibri" w:asciiTheme="minorEastAsia" w:hAnsiTheme="minorEastAsia" w:eastAsiaTheme="minorEastAsia"/>
          <w:b/>
          <w:color w:val="auto"/>
          <w:sz w:val="28"/>
          <w:szCs w:val="24"/>
        </w:rPr>
        <w:t>3.1隐患排查清单</w:t>
      </w:r>
      <w:bookmarkEnd w:id="39"/>
      <w:bookmarkEnd w:id="40"/>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根据安全风险分级管控清单，制定隐患排查治理清单，如表</w:t>
      </w:r>
      <w:r>
        <w:rPr>
          <w:rFonts w:cs="Calibri" w:asciiTheme="minorEastAsia" w:hAnsiTheme="minorEastAsia" w:eastAsiaTheme="minorEastAsia"/>
          <w:color w:val="auto"/>
          <w:szCs w:val="24"/>
        </w:rPr>
        <w:t>3-1</w:t>
      </w:r>
      <w:r>
        <w:rPr>
          <w:rFonts w:hint="eastAsia" w:cs="Calibri" w:asciiTheme="minorEastAsia" w:hAnsiTheme="minorEastAsia" w:eastAsiaTheme="minorEastAsia"/>
          <w:color w:val="auto"/>
          <w:szCs w:val="24"/>
        </w:rPr>
        <w:t>、3-</w:t>
      </w:r>
      <w:r>
        <w:rPr>
          <w:rFonts w:cs="Calibri" w:asciiTheme="minorEastAsia" w:hAnsiTheme="minorEastAsia" w:eastAsiaTheme="minorEastAsia"/>
          <w:color w:val="auto"/>
          <w:szCs w:val="24"/>
        </w:rPr>
        <w:t>2所示。</w:t>
      </w:r>
    </w:p>
    <w:p>
      <w:pPr>
        <w:widowControl w:val="0"/>
        <w:spacing w:after="0" w:line="560" w:lineRule="exact"/>
        <w:ind w:left="0" w:firstLine="552" w:firstLineChars="200"/>
        <w:rPr>
          <w:rFonts w:cs="Calibri" w:asciiTheme="minorEastAsia" w:hAnsiTheme="minorEastAsia" w:eastAsiaTheme="minorEastAsia"/>
          <w:b/>
          <w:color w:val="FF0000"/>
          <w:sz w:val="28"/>
          <w:szCs w:val="24"/>
        </w:rPr>
      </w:pPr>
    </w:p>
    <w:p>
      <w:pPr>
        <w:widowControl w:val="0"/>
        <w:spacing w:after="0" w:line="560" w:lineRule="exact"/>
        <w:ind w:left="0" w:firstLine="552" w:firstLineChars="200"/>
        <w:rPr>
          <w:rFonts w:cs="Calibri" w:asciiTheme="minorEastAsia" w:hAnsiTheme="minorEastAsia" w:eastAsiaTheme="minorEastAsia"/>
          <w:b/>
          <w:color w:val="FF0000"/>
          <w:sz w:val="28"/>
          <w:szCs w:val="24"/>
        </w:rPr>
        <w:sectPr>
          <w:headerReference r:id="rId13" w:type="default"/>
          <w:pgSz w:w="11906" w:h="16838"/>
          <w:pgMar w:top="1440" w:right="1080" w:bottom="1440" w:left="1080" w:header="851" w:footer="1134" w:gutter="0"/>
          <w:cols w:space="720" w:num="1"/>
          <w:docGrid w:type="linesAndChars" w:linePitch="584" w:charSpace="-849"/>
        </w:sectPr>
      </w:pPr>
    </w:p>
    <w:p>
      <w:pPr>
        <w:widowControl w:val="0"/>
        <w:spacing w:after="0" w:line="360" w:lineRule="auto"/>
        <w:ind w:left="0" w:firstLine="482"/>
        <w:jc w:val="both"/>
        <w:outlineLvl w:val="2"/>
        <w:rPr>
          <w:rFonts w:ascii="宋体" w:hAnsi="宋体" w:eastAsia="宋体" w:cs="宋体"/>
          <w:b/>
          <w:kern w:val="0"/>
          <w:szCs w:val="18"/>
        </w:rPr>
      </w:pPr>
      <w:bookmarkStart w:id="42" w:name="_Toc105769805"/>
      <w:bookmarkStart w:id="43" w:name="_Toc104720412"/>
      <w:r>
        <w:rPr>
          <w:rFonts w:hint="eastAsia" w:ascii="宋体" w:hAnsi="宋体" w:eastAsia="宋体" w:cs="宋体"/>
          <w:b/>
          <w:kern w:val="0"/>
          <w:szCs w:val="18"/>
        </w:rPr>
        <w:t>3.</w:t>
      </w:r>
      <w:r>
        <w:rPr>
          <w:rFonts w:ascii="宋体" w:hAnsi="宋体" w:eastAsia="宋体" w:cs="宋体"/>
          <w:b/>
          <w:kern w:val="0"/>
          <w:szCs w:val="18"/>
        </w:rPr>
        <w:t>1</w:t>
      </w:r>
      <w:r>
        <w:rPr>
          <w:rFonts w:hint="eastAsia" w:ascii="宋体" w:hAnsi="宋体" w:eastAsia="宋体" w:cs="宋体"/>
          <w:b/>
          <w:kern w:val="0"/>
          <w:szCs w:val="18"/>
        </w:rPr>
        <w:t>.1工区院区隐患排查清单</w:t>
      </w:r>
      <w:bookmarkEnd w:id="42"/>
      <w:bookmarkEnd w:id="43"/>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w:t>
      </w:r>
      <w:r>
        <w:rPr>
          <w:rFonts w:cs="Calibri" w:asciiTheme="minorEastAsia" w:hAnsiTheme="minorEastAsia" w:eastAsiaTheme="minorEastAsia"/>
          <w:b/>
          <w:color w:val="auto"/>
          <w:sz w:val="22"/>
          <w:szCs w:val="24"/>
        </w:rPr>
        <w:t>1</w:t>
      </w:r>
      <w:r>
        <w:rPr>
          <w:rFonts w:hint="eastAsia" w:cs="Calibri" w:asciiTheme="minorEastAsia" w:hAnsiTheme="minorEastAsia" w:eastAsiaTheme="minorEastAsia"/>
          <w:b/>
          <w:color w:val="auto"/>
          <w:sz w:val="22"/>
          <w:szCs w:val="24"/>
        </w:rPr>
        <w:t>工区院区隐患排查清单</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autofit"/>
        <w:tblCellMar>
          <w:top w:w="0" w:type="dxa"/>
          <w:left w:w="0" w:type="dxa"/>
          <w:bottom w:w="0" w:type="dxa"/>
          <w:right w:w="0" w:type="dxa"/>
        </w:tblCellMar>
      </w:tblPr>
      <w:tblGrid>
        <w:gridCol w:w="502"/>
        <w:gridCol w:w="624"/>
        <w:gridCol w:w="1077"/>
        <w:gridCol w:w="4018"/>
        <w:gridCol w:w="1024"/>
        <w:gridCol w:w="3448"/>
        <w:gridCol w:w="606"/>
        <w:gridCol w:w="621"/>
        <w:gridCol w:w="438"/>
        <w:gridCol w:w="538"/>
        <w:gridCol w:w="1109"/>
        <w:gridCol w:w="703"/>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2463" w:type="pct"/>
            <w:gridSpan w:val="5"/>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风险分级管控</w:t>
            </w:r>
          </w:p>
        </w:tc>
        <w:tc>
          <w:tcPr>
            <w:tcW w:w="2298" w:type="pct"/>
            <w:gridSpan w:val="6"/>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隐患排查治理</w:t>
            </w:r>
          </w:p>
        </w:tc>
        <w:tc>
          <w:tcPr>
            <w:tcW w:w="239" w:type="pct"/>
            <w:vMerge w:val="restart"/>
            <w:shd w:val="clear" w:color="auto" w:fill="F2F2F2"/>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383" w:type="pct"/>
            <w:gridSpan w:val="2"/>
            <w:vMerge w:val="restart"/>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风险点</w:t>
            </w:r>
          </w:p>
        </w:tc>
        <w:tc>
          <w:tcPr>
            <w:tcW w:w="366" w:type="pct"/>
            <w:vMerge w:val="restart"/>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color w:val="auto"/>
                <w:sz w:val="20"/>
                <w:szCs w:val="21"/>
              </w:rPr>
            </w:pPr>
            <w:r>
              <w:rPr>
                <w:rFonts w:hint="eastAsia" w:cs="宋体" w:asciiTheme="minorEastAsia" w:hAnsiTheme="minorEastAsia" w:eastAsiaTheme="minorEastAsia"/>
                <w:b/>
                <w:color w:val="auto"/>
                <w:kern w:val="0"/>
                <w:sz w:val="20"/>
                <w:szCs w:val="21"/>
              </w:rPr>
              <w:t>风险失控表现/风险事</w:t>
            </w:r>
            <w:r>
              <w:rPr>
                <w:rFonts w:hint="eastAsia" w:cs="宋体" w:asciiTheme="minorEastAsia" w:hAnsiTheme="minorEastAsia" w:eastAsiaTheme="minorEastAsia"/>
                <w:b/>
                <w:color w:val="auto"/>
                <w:kern w:val="0"/>
                <w:sz w:val="20"/>
                <w:szCs w:val="21"/>
                <w:lang w:bidi="ar"/>
              </w:rPr>
              <w:t>件</w:t>
            </w:r>
          </w:p>
        </w:tc>
        <w:tc>
          <w:tcPr>
            <w:tcW w:w="1366" w:type="pct"/>
            <w:vMerge w:val="restart"/>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color w:val="auto"/>
                <w:sz w:val="20"/>
                <w:szCs w:val="21"/>
              </w:rPr>
            </w:pPr>
            <w:r>
              <w:rPr>
                <w:rFonts w:hint="eastAsia" w:cs="宋体" w:asciiTheme="minorEastAsia" w:hAnsiTheme="minorEastAsia" w:eastAsiaTheme="minorEastAsia"/>
                <w:b/>
                <w:color w:val="auto"/>
                <w:kern w:val="0"/>
                <w:sz w:val="20"/>
                <w:szCs w:val="21"/>
                <w:lang w:bidi="ar"/>
              </w:rPr>
              <w:t>风险管控措施</w:t>
            </w:r>
          </w:p>
        </w:tc>
        <w:tc>
          <w:tcPr>
            <w:tcW w:w="348" w:type="pct"/>
            <w:vMerge w:val="restart"/>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责任部门/责任人</w:t>
            </w:r>
          </w:p>
        </w:tc>
        <w:tc>
          <w:tcPr>
            <w:tcW w:w="1172" w:type="pct"/>
            <w:vMerge w:val="restart"/>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隐患排查内容与标准</w:t>
            </w:r>
          </w:p>
        </w:tc>
        <w:tc>
          <w:tcPr>
            <w:tcW w:w="417" w:type="pct"/>
            <w:gridSpan w:val="2"/>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日常排查</w:t>
            </w:r>
          </w:p>
        </w:tc>
        <w:tc>
          <w:tcPr>
            <w:tcW w:w="149" w:type="pct"/>
            <w:vMerge w:val="restart"/>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定期排查</w:t>
            </w:r>
          </w:p>
        </w:tc>
        <w:tc>
          <w:tcPr>
            <w:tcW w:w="183" w:type="pct"/>
            <w:vMerge w:val="restart"/>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专项排查</w:t>
            </w:r>
          </w:p>
        </w:tc>
        <w:tc>
          <w:tcPr>
            <w:tcW w:w="377" w:type="pct"/>
            <w:vMerge w:val="restart"/>
            <w:shd w:val="clear" w:color="auto" w:fill="F2F2F2"/>
            <w:tcMar>
              <w:top w:w="15" w:type="dxa"/>
              <w:left w:w="15" w:type="dxa"/>
              <w:right w:w="15" w:type="dxa"/>
            </w:tcMar>
            <w:vAlign w:val="center"/>
          </w:tcPr>
          <w:p>
            <w:pPr>
              <w:spacing w:after="0" w:line="400" w:lineRule="exact"/>
              <w:ind w:left="0" w:hanging="11"/>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排查责任部门和责任人</w:t>
            </w:r>
          </w:p>
        </w:tc>
        <w:tc>
          <w:tcPr>
            <w:tcW w:w="239"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b/>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383" w:type="pct"/>
            <w:gridSpan w:val="2"/>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b/>
                <w:sz w:val="20"/>
                <w:szCs w:val="21"/>
              </w:rPr>
            </w:pPr>
          </w:p>
        </w:tc>
        <w:tc>
          <w:tcPr>
            <w:tcW w:w="1366"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b/>
                <w:sz w:val="20"/>
                <w:szCs w:val="21"/>
              </w:rPr>
            </w:pPr>
          </w:p>
        </w:tc>
        <w:tc>
          <w:tcPr>
            <w:tcW w:w="348"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b/>
                <w:sz w:val="20"/>
                <w:szCs w:val="21"/>
              </w:rPr>
            </w:pPr>
          </w:p>
        </w:tc>
        <w:tc>
          <w:tcPr>
            <w:tcW w:w="1172"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b/>
                <w:sz w:val="20"/>
                <w:szCs w:val="21"/>
              </w:rPr>
            </w:pPr>
          </w:p>
        </w:tc>
        <w:tc>
          <w:tcPr>
            <w:tcW w:w="206" w:type="pct"/>
            <w:shd w:val="clear" w:color="auto" w:fill="F2F2F2"/>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日查</w:t>
            </w:r>
          </w:p>
        </w:tc>
        <w:tc>
          <w:tcPr>
            <w:tcW w:w="211" w:type="pct"/>
            <w:shd w:val="clear" w:color="auto" w:fill="F2F2F2"/>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b/>
                <w:sz w:val="20"/>
                <w:szCs w:val="21"/>
              </w:rPr>
            </w:pPr>
            <w:r>
              <w:rPr>
                <w:rFonts w:hint="eastAsia" w:cs="宋体" w:asciiTheme="minorEastAsia" w:hAnsiTheme="minorEastAsia" w:eastAsiaTheme="minorEastAsia"/>
                <w:b/>
                <w:kern w:val="0"/>
                <w:sz w:val="20"/>
                <w:szCs w:val="21"/>
                <w:lang w:bidi="ar"/>
              </w:rPr>
              <w:t>周查</w:t>
            </w:r>
          </w:p>
        </w:tc>
        <w:tc>
          <w:tcPr>
            <w:tcW w:w="149"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39" w:type="pct"/>
            <w:vMerge w:val="continue"/>
            <w:shd w:val="clear" w:color="auto" w:fill="F2F2F2"/>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院区</w:t>
            </w:r>
          </w:p>
        </w:tc>
        <w:tc>
          <w:tcPr>
            <w:tcW w:w="212"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院区</w:t>
            </w: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车辆伤害</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进入院区车辆限速10km/h，车辆驾乘人员及行人应注意观察周边环境。</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1</w:t>
            </w:r>
            <w:r>
              <w:rPr>
                <w:rFonts w:cs="宋体" w:asciiTheme="minorEastAsia" w:hAnsiTheme="minorEastAsia" w:eastAsiaTheme="minorEastAsia"/>
                <w:kern w:val="0"/>
                <w:sz w:val="20"/>
                <w:szCs w:val="21"/>
                <w:lang w:bidi="ar"/>
              </w:rPr>
              <w:t>.限速设施完好</w:t>
            </w:r>
            <w:r>
              <w:rPr>
                <w:rFonts w:hint="eastAsia" w:cs="宋体" w:asciiTheme="minorEastAsia" w:hAnsiTheme="minorEastAsia" w:eastAsiaTheme="minorEastAsia"/>
                <w:kern w:val="0"/>
                <w:sz w:val="20"/>
                <w:szCs w:val="21"/>
                <w:lang w:bidi="ar"/>
              </w:rPr>
              <w:t>。</w:t>
            </w:r>
          </w:p>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w:t>
            </w:r>
            <w:r>
              <w:rPr>
                <w:rFonts w:cs="宋体" w:asciiTheme="minorEastAsia" w:hAnsiTheme="minorEastAsia" w:eastAsiaTheme="minorEastAsia"/>
                <w:kern w:val="0"/>
                <w:sz w:val="20"/>
                <w:szCs w:val="21"/>
                <w:lang w:bidi="ar"/>
              </w:rPr>
              <w:t>.</w:t>
            </w:r>
            <w:r>
              <w:rPr>
                <w:rFonts w:hint="eastAsia" w:cs="宋体" w:asciiTheme="minorEastAsia" w:hAnsiTheme="minorEastAsia" w:eastAsiaTheme="minorEastAsia"/>
                <w:kern w:val="0"/>
                <w:sz w:val="20"/>
                <w:szCs w:val="21"/>
                <w:lang w:bidi="ar"/>
              </w:rPr>
              <w:t>进入院区车辆按10km/h速度行驶。</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1.对标线进行定期维护，发现缺失及时补画；</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2.停车区禁止放置其它物料，值班人员落实日常巡查，发现后及时清除。</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1.标线、标识是否完好</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2.是否存在违规停车的情况</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3.是否堆放其他物资</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物体打击</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定期排查结构外墙及临边设施，高处作业时工具、材料应放置稳妥。</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firstLine="0"/>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1</w:t>
            </w:r>
            <w:r>
              <w:rPr>
                <w:rFonts w:cs="宋体" w:asciiTheme="minorEastAsia" w:hAnsiTheme="minorEastAsia" w:eastAsiaTheme="minorEastAsia"/>
                <w:kern w:val="0"/>
                <w:sz w:val="20"/>
                <w:szCs w:val="21"/>
                <w:lang w:bidi="ar"/>
              </w:rPr>
              <w:t>.</w:t>
            </w:r>
            <w:r>
              <w:rPr>
                <w:rFonts w:hint="eastAsia" w:cs="宋体" w:asciiTheme="minorEastAsia" w:hAnsiTheme="minorEastAsia" w:eastAsiaTheme="minorEastAsia"/>
                <w:kern w:val="0"/>
                <w:sz w:val="20"/>
                <w:szCs w:val="21"/>
                <w:lang w:bidi="ar"/>
              </w:rPr>
              <w:t>结构外墙及临边设施有无损坏</w:t>
            </w:r>
          </w:p>
          <w:p>
            <w:pPr>
              <w:spacing w:after="0" w:line="400" w:lineRule="exact"/>
              <w:ind w:left="-10" w:firstLine="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w:t>
            </w:r>
            <w:r>
              <w:rPr>
                <w:rFonts w:cs="宋体" w:asciiTheme="minorEastAsia" w:hAnsiTheme="minorEastAsia" w:eastAsiaTheme="minorEastAsia"/>
                <w:kern w:val="0"/>
                <w:sz w:val="20"/>
                <w:szCs w:val="21"/>
                <w:lang w:bidi="ar"/>
              </w:rPr>
              <w:t>.</w:t>
            </w:r>
            <w:r>
              <w:rPr>
                <w:rFonts w:hint="eastAsia" w:cs="宋体" w:asciiTheme="minorEastAsia" w:hAnsiTheme="minorEastAsia" w:eastAsiaTheme="minorEastAsia"/>
                <w:kern w:val="0"/>
                <w:sz w:val="20"/>
                <w:szCs w:val="21"/>
                <w:lang w:bidi="ar"/>
              </w:rPr>
              <w:t>高处作业时工具、材料放置是否规范。</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1.按时巡查，发现问题进行进行维修和维护；</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2.安装防护装置，提高安全性能，并定期检查装置的实用效果。</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2.防护装置是否完好；</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3.损坏处是否按要求进行维修；</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4.不能及时维修位置是否有警示标识。</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高处坠落</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作业前进行安全技术交底，作业人员应穿戴防护用品，不得酒后、违章冒险作业。雨雪、强风天气避免高处作业。</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1.作业前开展安全技术交底，作业人员防护用品穿戴规范，无违章冒险作业。</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项目负责人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夜间照明应良好，定期对临边、洞口防护设施进行检查维修，确保防护设施齐全有效。</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2.夜间照明良好。</w:t>
            </w:r>
          </w:p>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w:t>
            </w:r>
            <w:r>
              <w:rPr>
                <w:rFonts w:cs="宋体" w:asciiTheme="minorEastAsia" w:hAnsiTheme="minorEastAsia" w:eastAsiaTheme="minorEastAsia"/>
                <w:kern w:val="0"/>
                <w:sz w:val="20"/>
                <w:szCs w:val="21"/>
                <w:lang w:bidi="ar"/>
              </w:rPr>
              <w:t>.</w:t>
            </w:r>
            <w:r>
              <w:rPr>
                <w:rFonts w:hint="eastAsia" w:cs="宋体" w:asciiTheme="minorEastAsia" w:hAnsiTheme="minorEastAsia" w:eastAsiaTheme="minorEastAsia"/>
                <w:kern w:val="0"/>
                <w:sz w:val="20"/>
                <w:szCs w:val="21"/>
                <w:lang w:bidi="ar"/>
              </w:rPr>
              <w:t>临边防护设施齐全有效。</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事故扩大</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办公区前应划定消防禁停区域，建立车辆通讯录，火灾事故时可及时挪车。</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1.办公区前设有消防禁停区域。</w:t>
            </w:r>
          </w:p>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sz w:val="20"/>
                <w:szCs w:val="21"/>
              </w:rPr>
              <w:t>2</w:t>
            </w:r>
            <w:r>
              <w:rPr>
                <w:rFonts w:cs="宋体" w:asciiTheme="minorEastAsia" w:hAnsiTheme="minorEastAsia" w:eastAsiaTheme="minorEastAsia"/>
                <w:sz w:val="20"/>
                <w:szCs w:val="21"/>
              </w:rPr>
              <w:t>.无车辆占用消防车道</w:t>
            </w:r>
            <w:r>
              <w:rPr>
                <w:rFonts w:hint="eastAsia" w:cs="宋体" w:asciiTheme="minorEastAsia" w:hAnsiTheme="minorEastAsia" w:eastAsiaTheme="minorEastAsia"/>
                <w:sz w:val="20"/>
                <w:szCs w:val="21"/>
              </w:rPr>
              <w:t>、</w:t>
            </w:r>
          </w:p>
        </w:tc>
        <w:tc>
          <w:tcPr>
            <w:tcW w:w="206"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定期排查，确保设施齐全有效，不得遮挡。</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kern w:val="0"/>
                <w:sz w:val="20"/>
                <w:szCs w:val="21"/>
                <w:lang w:bidi="ar"/>
              </w:rPr>
            </w:pPr>
            <w:r>
              <w:rPr>
                <w:rFonts w:cs="宋体" w:asciiTheme="minorEastAsia" w:hAnsiTheme="minorEastAsia" w:eastAsiaTheme="minorEastAsia"/>
                <w:kern w:val="0"/>
                <w:sz w:val="20"/>
                <w:szCs w:val="21"/>
                <w:lang w:bidi="ar"/>
              </w:rPr>
              <w:t>1.</w:t>
            </w:r>
            <w:r>
              <w:rPr>
                <w:rFonts w:hint="eastAsia" w:cs="宋体" w:asciiTheme="minorEastAsia" w:hAnsiTheme="minorEastAsia" w:eastAsiaTheme="minorEastAsia"/>
                <w:kern w:val="0"/>
                <w:sz w:val="20"/>
                <w:szCs w:val="21"/>
                <w:lang w:bidi="ar"/>
              </w:rPr>
              <w:t>消防设施是否被遮挡、缺失、损坏</w:t>
            </w:r>
          </w:p>
          <w:p>
            <w:pPr>
              <w:spacing w:after="0" w:line="400" w:lineRule="exact"/>
              <w:ind w:left="0"/>
              <w:textAlignment w:val="center"/>
              <w:rPr>
                <w:rFonts w:cs="宋体" w:asciiTheme="minorEastAsia" w:hAnsiTheme="minorEastAsia" w:eastAsiaTheme="minorEastAsia"/>
                <w:sz w:val="20"/>
                <w:szCs w:val="21"/>
              </w:rPr>
            </w:pPr>
            <w:r>
              <w:rPr>
                <w:rFonts w:cs="宋体" w:asciiTheme="minorEastAsia" w:hAnsiTheme="minorEastAsia" w:eastAsiaTheme="minorEastAsia"/>
                <w:kern w:val="0"/>
                <w:sz w:val="20"/>
                <w:szCs w:val="21"/>
                <w:lang w:bidi="ar"/>
              </w:rPr>
              <w:t>2.</w:t>
            </w:r>
            <w:r>
              <w:rPr>
                <w:rFonts w:hint="eastAsia" w:cs="宋体" w:asciiTheme="minorEastAsia" w:hAnsiTheme="minorEastAsia" w:eastAsiaTheme="minorEastAsia"/>
                <w:kern w:val="0"/>
                <w:sz w:val="20"/>
                <w:szCs w:val="21"/>
                <w:lang w:bidi="ar"/>
              </w:rPr>
              <w:t>消防通道是否被侵占</w:t>
            </w:r>
          </w:p>
        </w:tc>
        <w:tc>
          <w:tcPr>
            <w:tcW w:w="206"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其  他</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确保监控设施齐全有效，按规定开展安保巡查。</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1.监控设施齐全有效，按规定开展安保巡查。</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确保照明良好，加强安保人员培训，巡查时注意观察周边环境。</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2.照明设施良好，定期开展安保人员培训。</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警卫室</w:t>
            </w: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火  灾</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制定用电安全管理制度，加强机关人员用电安全培训，做到人走电断‘定期巡查，严禁违章用电行为。</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1.定期开展用电安全培训，严格按规定用电，无违章用电行为。</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按计划</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使用合格的电气设备，定期巡视检查，发现电气隐患及时处理。</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2.电气设备符合要求，检查是否存在隐患。</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加强安保人员消防安全培训，提高人员防火意识。</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3.定期开展安保人员消防安全培训，具有较强的防火意识。</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按计划</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室内按规定配置消防器材，定期进行消防巡查。</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4.消防器材配备符合要求，且完好可用。</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触  电</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定期巡视检查，发现绝缘破损、裸露的设备及线缆时及时上报维修，不得随意接线。</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1.检查线路是否完好无破损。</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电气设备、插座应远离水壶、潮湿场所。定期巡视检查，发现积水时及时上报维修。</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2.电气设备、插座完好，无近距离水源，附近无积水。</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使用合格的电气产品，3C认证的合格插座。</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3.使用的电气产品属于3C认证的合格产品。</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发现电气隐患时应及时上报，无证人员不得违章作业。电气作业时应穿戴合格防护用品，按规程操作。</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4.作业人员持证上岗，规范作业；电气作业时穿戴合格防护用品。</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项目</w:t>
            </w:r>
            <w:r>
              <w:rPr>
                <w:rFonts w:cs="宋体" w:asciiTheme="minorEastAsia" w:hAnsiTheme="minorEastAsia" w:eastAsiaTheme="minorEastAsia"/>
                <w:kern w:val="0"/>
                <w:sz w:val="20"/>
                <w:szCs w:val="21"/>
                <w:lang w:bidi="ar"/>
              </w:rPr>
              <w:t>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暴力纠纷</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严格执行来访人员登记管理制度，加强保安人员业务培训。</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1.严格执行门禁管理制度，无违规行为。</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加强保安人员业务培训，配备防暴器材。</w:t>
            </w:r>
          </w:p>
        </w:tc>
        <w:tc>
          <w:tcPr>
            <w:tcW w:w="348" w:type="pct"/>
            <w:shd w:val="clear" w:color="auto" w:fill="auto"/>
            <w:tcMar>
              <w:top w:w="15" w:type="dxa"/>
              <w:left w:w="15" w:type="dxa"/>
              <w:right w:w="15" w:type="dxa"/>
            </w:tcMar>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综合管理组组长</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2.防暴器材齐全完好。</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1"/>
                <w:szCs w:val="21"/>
              </w:rPr>
              <w:t>综合管理组组长</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库房</w:t>
            </w:r>
          </w:p>
        </w:tc>
        <w:tc>
          <w:tcPr>
            <w:tcW w:w="212"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养护设备设施及库房</w:t>
            </w: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车辆伤害</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控制车辆出入库速度。</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驾驶员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1.车辆出入库速度符合规范要求。</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项目负责人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库房入口应宽敞，无视线阻挡现象，视线不良时，应设专人指挥。</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驾驶员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2.库房入口宽敞，无视线阻挡现象，入库时有专人指挥。</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按规定定期对车辆进行维修保养，禁止车辆带病上路。</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驾驶员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3.按规定进行车辆维修保养。</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驾驶人员应持证上岗，涉及特种或特殊设备应经专业培训后方可操作设备。</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驾驶员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4.驾驶人员持证上岗，证件与车型相符。</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制定驾驶员上岗管理制度，上岗前安全检查。</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驾驶员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5.上岗前对驾驶员进行安全确认。</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项目负责人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火  灾</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制定库房管理制度，对库房进行定期巡视检查。</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1.库房管理制度完善，按要求对库房进行巡视检查。</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定期对车辆进行检维修，对室外车辆及库房定期排查。</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2.按规定对车辆进行检查维修，定期排查。</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加强临时线路检查，离开库房时及时关闭电源；设备设专人管理，禁止设备超负荷运行或带病运行，经常检查，定期维护，严格按照操作规程操作。</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3.线路规范、完好，离开库房时关闭电源；设施设备无超负荷运行或带病运行情况，按要求定期维护检修，严格按照操作规程操作。</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制定库房管理制度，易燃易爆物品应单独存放，对库房进行定期巡视检查。</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4.易燃易爆物品单独规范存放，并定期巡视检查。</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采用质量可靠的气瓶及附件；分类储存、直立放置，并有防暴晒、防碰倒措施。</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5.气瓶及附件质量符合要求；分类储存、直立放置，设有防暴晒、防碰倒措施。</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定期对养护设备、车辆进行检维修，作业前进行设备检查。</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6.定期对养护设备、车辆进行检维修，作业前开展设备检查。</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加强库内电气安全管理，不得超负荷运行、私拉乱接等。</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7.库内电气不超负荷运行，无私拉乱接等。</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触  电</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定期巡视检查，发现绝缘破损、裸露的设备及线缆时及时上报维修，不得随意接线。</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1.检查线路是否绝缘破损，是否存在裸露的设备及线缆，无私拉乱接情况。</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电气设备、插座应远离水壶、潮湿场所。定期巡视检查，发现积水时及时上报维修。</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2.电气设备、插座完好，无近距离水源，附近无积水。</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使用合格的电气产品，3C认证的合格插座。</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3.使用的电气产品属于3C认证的合格产品。</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发现电气隐患时应及时上报，无证人员不得违章作业。电气作业时应穿戴合格防护用品，按规程操作。</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4.作业人员持证上岗，规范作业；电气作业时穿戴合格防护用品。</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项目负责人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物体打击</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设备及物资应实行定置化管理。</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1.设备及物资按要求实行定置化管理。</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整理设备时，禁止冒险强行作业。</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2.无冒险强行作业行为。</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项目负责人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定期对墙体和墙体展板进行检查，发现问题及时修复，确保安全。</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3.墙体及墙体展板完好，无破损情况。</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1.定期检查维修库房门，发现问题及时维修，确保安全。</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2.规范相关要求，门下禁止站人。</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4.库房门完好无损坏；</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5.门下无人员逗留和站立。</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其  他</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设备及物资应实行定置化管理，零散件应归类储存于固定场所。作业人员不得穿戴拖鞋、赤脚进入库房。</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1.设备及物资按要求实行定置化管理。</w:t>
            </w:r>
            <w:r>
              <w:rPr>
                <w:rFonts w:cs="宋体" w:asciiTheme="minorEastAsia" w:hAnsiTheme="minorEastAsia" w:eastAsiaTheme="minorEastAsia"/>
                <w:sz w:val="20"/>
                <w:szCs w:val="21"/>
              </w:rPr>
              <w:t xml:space="preserve"> </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按规范要求开、关库房门，禁止违规作业。</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2.开、关库房门规范操作。作业人员着装规范。</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保持地面整洁，设备维修后及时清洁地面，物资规范放置，定期整理规范。</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3.地面整洁，物资规范放置。</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规范库房钥匙放置位置和监管人员，其他人员禁止私自取用。</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4.库房钥匙专人负责，专人管理，无他人私自取用情况。</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按规程进行设备检维修。</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5.按规程进行设备检维修。</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养护设施材料及库房</w:t>
            </w: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火  灾</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物资及分类存放，易燃易爆物品应单独存放。</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1.物资按要求分类存放，易燃易爆物品单独存放。</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制定库房管理制度，对库房进行定期巡视检查。</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2.库房管理制度完善，定期进行巡视检查。</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加强库内电气安全管理，不得超负荷运行、私拉乱接等。</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3.库内电气不超负荷运行，无私拉乱接等。</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触  电</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定期巡视检查，发现绝缘破损、裸露的设备及线缆时及时上报维修，不得随意接线。</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1.检查线路是否绝缘破损，是否存在裸露的设备及线缆，无私拉乱接情况。</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电气设备、插座应远离水壶、潮湿场所。定期巡视检查，发现积水时及时上报维修。</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2.电气设备、插座完好，无近距离水源，附近无积水。</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使用合格的电气产品，3C认证的合格插座。</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3.使用的电气产品属于3C认证的合格产品。</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发现电气隐患时应及时上报，无证人员不得违章作业。电气作业时应穿戴合格防护用品，按规程操作。</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4.作业人员持证上岗，规范作业；电气作业时穿戴合格防护用品。</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项目负责人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物体打击</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设备及物资应摆放牢固，零散件零散件应归类储存于固定场所。</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1.设备及物资摆放牢固，零散件分类储存。</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物资出入库时应使用专用设备，人工搬运时应穿戴合理，禁止冒险强行作业。</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2.物资出入库时使用专用设备，人工搬运时规范作业。</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项目负责人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定期对墙体和墙体展板进行检查，发现问题及时修复，确保安全。</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3.墙体和墙体展板完好无破损。</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1.定期检查维修库房门，发现问题及时维修，确保安全。</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2.规范相关要求，门下禁止站人。</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4.库房门完好无损坏；</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5.门下无人员逗留和站立。</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其  他</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设备及物资应实行定置化管理，零散件应归类储存于固定场所。作业人员不得穿戴拖鞋、赤脚进入库房。</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1.设备及物资按要求实行定置化管理。</w:t>
            </w:r>
            <w:r>
              <w:rPr>
                <w:rFonts w:cs="宋体" w:asciiTheme="minorEastAsia" w:hAnsiTheme="minorEastAsia" w:eastAsiaTheme="minorEastAsia"/>
                <w:sz w:val="20"/>
                <w:szCs w:val="21"/>
              </w:rPr>
              <w:t xml:space="preserve"> </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按规范要求开、关库房门，禁止违规作业。</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2.开、关库房门规范操作，作业人员着装规范。</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保持地面整洁，设备维修后及时清洁地面，物资规范放置，定期整理规范。</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3.地面整洁，物资规范放置。</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规范危险物资放置区域，配备相应的防护措施；有毒、有害物质应按规定存放。</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4.危险物资放置规范，相应的防护措施完好；有毒、有害物质按规定存放。</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规范库房钥匙放置位置和监管人员，其他人员禁止私自取用。</w:t>
            </w:r>
          </w:p>
        </w:tc>
        <w:tc>
          <w:tcPr>
            <w:tcW w:w="348" w:type="pct"/>
            <w:shd w:val="clear" w:color="auto" w:fill="auto"/>
            <w:tcMar>
              <w:top w:w="15" w:type="dxa"/>
              <w:left w:w="15" w:type="dxa"/>
              <w:right w:w="15" w:type="dxa"/>
            </w:tcMa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管理员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5.库房钥匙专人负责，专人管理，无他人私自取用情况。</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机械设备管理负责人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宿办楼</w:t>
            </w:r>
          </w:p>
        </w:tc>
        <w:tc>
          <w:tcPr>
            <w:tcW w:w="212"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办公室</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宿舍</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资料室</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会议室</w:t>
            </w:r>
            <w:r>
              <w:rPr>
                <w:rFonts w:hint="eastAsia" w:cs="宋体" w:asciiTheme="minorEastAsia" w:hAnsiTheme="minorEastAsia" w:eastAsiaTheme="minorEastAsia"/>
                <w:kern w:val="0"/>
                <w:sz w:val="20"/>
                <w:szCs w:val="21"/>
                <w:lang w:bidi="ar"/>
              </w:rPr>
              <w:br w:type="textWrapping"/>
            </w:r>
            <w:r>
              <w:rPr>
                <w:rFonts w:hint="eastAsia" w:cs="宋体" w:asciiTheme="minorEastAsia" w:hAnsiTheme="minorEastAsia" w:eastAsiaTheme="minorEastAsia"/>
                <w:kern w:val="0"/>
                <w:sz w:val="20"/>
                <w:szCs w:val="21"/>
                <w:lang w:bidi="ar"/>
              </w:rPr>
              <w:t>阅览室</w:t>
            </w: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火  灾</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制定用电安全管理制度，加强人员用电安全培训，做到人走电断‘定期巡查，严禁违章用电行为。</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1.定期开展用电安全培训，严格按规定用电，无违章用电行为。</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工区主任</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加强人员用电安全培训，做到人走电断。</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2.有无做到人走电断。</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使用合格的电气设备，定期巡视检查，发现电气隐患及时处理。</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3.电气设备符合要求，检查是否存在隐患。</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办公室内禁止吸烟，室外公共区域设置专门吸烟场所，吸烟处配置灭火器、水及烟灰缸。加强机关人员消防安全培训，提高人员防火意识。</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4.无办公室吸烟行为；定期开展全员消防安全培训，具有较强的防火意识。</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室内按规定配置消防器材，定期进行消防巡查。</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5.消防器材配备符合要求，且完好可用。</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工区主任</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触  电</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定期巡视检查，发现绝缘破损的设备及线缆时及时上报维修。</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1.检查线路是否绝缘破损，是否存在裸露的设备及线缆，无私拉乱接情况。</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定期巡视检查，发现积水时及时上报维修。</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2.检查地上是否有积水。</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使用合格的电气产品，3C认证的合格插座。</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3.使用的电气产品属于3C认证的合格产品。</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发现电气隐患时应及时上报，无证人员不得违章作业。</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4.作业人员持证上岗，规范作业。</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项目负责人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宋体" w:asciiTheme="minorEastAsia" w:hAnsiTheme="minorEastAsia" w:eastAsiaTheme="minorEastAsia"/>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restar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其  他</w:t>
            </w: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按规定排查，发现隐患及时处理；人走门窗锁闭。</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1.检查门窗锁是否及时锁闭，是否有损坏。</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部门负责人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上班前应注意观察周边环境，发现隐患时应及时上报，定期对易坠落设备设施进行维修更换。</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2.检查设施是否完好无损坏。</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部门负责人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定期对高处临边设施进行检查维修，确保防护设施齐全有效。</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3.检查高处临边设施是否完好，防护设施是否齐全有效。</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地面有水时应及时墩干。</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4.地面是否有积水。</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366"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定期对水壶、饮水机进行检修维护，确保完好；注水时不能超过最高水位线，避免加热后外溢；水烧开后缓慢倾倒，避免烫伤。</w:t>
            </w:r>
          </w:p>
        </w:tc>
        <w:tc>
          <w:tcPr>
            <w:tcW w:w="348"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使用人员</w:t>
            </w:r>
          </w:p>
        </w:tc>
        <w:tc>
          <w:tcPr>
            <w:tcW w:w="1172" w:type="pct"/>
            <w:shd w:val="clear" w:color="auto" w:fill="auto"/>
            <w:tcMar>
              <w:top w:w="15" w:type="dxa"/>
              <w:left w:w="15" w:type="dxa"/>
              <w:right w:w="15" w:type="dxa"/>
            </w:tcMar>
            <w:vAlign w:val="center"/>
          </w:tcPr>
          <w:p>
            <w:pPr>
              <w:spacing w:after="0" w:line="400" w:lineRule="exact"/>
              <w:ind w:left="0"/>
              <w:textAlignment w:val="center"/>
              <w:rPr>
                <w:rFonts w:cs="宋体" w:asciiTheme="minorEastAsia" w:hAnsiTheme="minorEastAsia" w:eastAsiaTheme="minorEastAsia"/>
                <w:sz w:val="20"/>
                <w:szCs w:val="21"/>
              </w:rPr>
            </w:pPr>
            <w:r>
              <w:rPr>
                <w:rFonts w:hint="eastAsia" w:cs="宋体" w:asciiTheme="minorEastAsia" w:hAnsiTheme="minorEastAsia" w:eastAsiaTheme="minorEastAsia"/>
                <w:kern w:val="0"/>
                <w:sz w:val="20"/>
                <w:szCs w:val="21"/>
                <w:lang w:bidi="ar"/>
              </w:rPr>
              <w:t>5.水壶、饮水机完好、无损坏；规范使用。</w:t>
            </w:r>
          </w:p>
        </w:tc>
        <w:tc>
          <w:tcPr>
            <w:tcW w:w="206"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p>
        </w:tc>
        <w:tc>
          <w:tcPr>
            <w:tcW w:w="211" w:type="pct"/>
            <w:shd w:val="clear" w:color="auto" w:fill="auto"/>
            <w:tcMar>
              <w:top w:w="15" w:type="dxa"/>
              <w:left w:w="15" w:type="dxa"/>
              <w:right w:w="15" w:type="dxa"/>
            </w:tcMar>
            <w:vAlign w:val="center"/>
          </w:tcPr>
          <w:p>
            <w:pPr>
              <w:spacing w:after="0" w:line="400" w:lineRule="exact"/>
              <w:ind w:left="0"/>
              <w:jc w:val="center"/>
              <w:textAlignment w:val="center"/>
              <w:rPr>
                <w:rFonts w:cs="Arial" w:asciiTheme="minorEastAsia" w:hAnsiTheme="minorEastAsia" w:eastAsiaTheme="minorEastAsia"/>
                <w:sz w:val="20"/>
                <w:szCs w:val="21"/>
              </w:rPr>
            </w:pPr>
            <w:r>
              <w:rPr>
                <w:rFonts w:cs="Arial" w:asciiTheme="minorEastAsia" w:hAnsiTheme="minorEastAsia" w:eastAsiaTheme="minorEastAsia"/>
                <w:kern w:val="0"/>
                <w:sz w:val="20"/>
                <w:szCs w:val="21"/>
                <w:lang w:bidi="ar"/>
              </w:rPr>
              <w:t>√</w:t>
            </w:r>
          </w:p>
        </w:tc>
        <w:tc>
          <w:tcPr>
            <w:tcW w:w="14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183"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c>
          <w:tcPr>
            <w:tcW w:w="377" w:type="pct"/>
            <w:shd w:val="clear" w:color="auto" w:fill="auto"/>
            <w:tcMar>
              <w:top w:w="15" w:type="dxa"/>
              <w:left w:w="15" w:type="dxa"/>
              <w:right w:w="15" w:type="dxa"/>
            </w:tcMar>
            <w:vAlign w:val="center"/>
          </w:tcPr>
          <w:p>
            <w:pPr>
              <w:spacing w:after="0" w:line="400" w:lineRule="exact"/>
              <w:ind w:left="0"/>
              <w:jc w:val="center"/>
              <w:textAlignment w:val="center"/>
              <w:rPr>
                <w:rFonts w:cs="宋体" w:asciiTheme="minorEastAsia" w:hAnsiTheme="minorEastAsia" w:eastAsiaTheme="minorEastAsia"/>
                <w:kern w:val="0"/>
                <w:sz w:val="20"/>
                <w:szCs w:val="21"/>
                <w:lang w:bidi="ar"/>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jc w:val="center"/>
              <w:rPr>
                <w:rFonts w:cs="宋体" w:asciiTheme="minorEastAsia" w:hAnsiTheme="minorEastAsia" w:eastAsiaTheme="minorEastAsia"/>
                <w:sz w:val="20"/>
                <w:szCs w:val="21"/>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restar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cs="宋体" w:asciiTheme="minorEastAsia" w:hAnsiTheme="minorEastAsia" w:eastAsiaTheme="minorEastAsia"/>
                <w:kern w:val="0"/>
                <w:sz w:val="20"/>
                <w:szCs w:val="21"/>
              </w:rPr>
              <w:t>食堂</w:t>
            </w:r>
          </w:p>
        </w:tc>
        <w:tc>
          <w:tcPr>
            <w:tcW w:w="212"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食堂</w:t>
            </w:r>
          </w:p>
        </w:tc>
        <w:tc>
          <w:tcPr>
            <w:tcW w:w="366"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火灾爆炸/中毒窒息/食物中毒/触电等</w:t>
            </w:r>
          </w:p>
        </w:tc>
        <w:tc>
          <w:tcPr>
            <w:tcW w:w="1366" w:type="pct"/>
            <w:vMerge w:val="restar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1.采用质量合格且在有效期的燃油燃气设备、阀门、管道，并设置专用房间，防水、防暴晒、通风良好；室内安装泄漏报警装置；定期开展隐患排查，发现隐患及时治理；管道穿墙处应封堵严密。</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2.室内严禁堆放杂物，定期排查室内环境。</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3.加强消防安全管理，按规定配备灭火器、灭火毯等。</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4.室内及炉灶旁严禁堆放杂物，定期排查室内环境。</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5.按规定定期清洗油烟机及烟道。</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6.烹饪设备应有防割伤、防触电、防烫伤保护措施与标志。</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7.加强安全用电管理，严禁违规使用超负荷用电、使用大功率电气、私拉乱接等现象。后厨用电应有防潮、防水、防溅措施，定期维修更换损坏的电气设备与线路。</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8.出台食堂卫生管理规定，做好防鼠、防疫工作。</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9.严格执行食材采购制度，定点采购合格的食品原材料。</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10.确保消毒柜完好有效；餐具应按时清洁，定期消毒。</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11.确保冷藏柜完好有效，食品原材料按规定冷藏、储存。</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12.选择可靠的食堂管理和操作人员，无关人员不得进入后厨。</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13.定期开展厨师管理人员业务培训，食堂工作人员应取得相关证书；14.按规定开展食品留样工作。</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15.地面有水时应及时墩干，食堂人员穿防滑鞋。</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16.加强操作间通风，做好个人防护；夏天时配备防暑降温食品，条件许可时配备空调设施。</w:t>
            </w:r>
          </w:p>
        </w:tc>
        <w:tc>
          <w:tcPr>
            <w:tcW w:w="348"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食堂管理员</w:t>
            </w: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食用油、酒精单独存放，远离火源。</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灭火器和灭火毯完好有效。</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炉灶使用状态稳定、良好，周边无易燃易爆物品。</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对后厨人员开展消防安全教育培训和应急演练。</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燃油燃气罐体、管道及阀门使用状态良好，无破损、变形、腐蚀等现象，泄漏报警装置运行正常，无报警。</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油烟机及烟道按规定清理干净。</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食堂电气线路、灯具、插座防潮性能良好，电气线路、插座及设备连接可靠，无裸露、破损、挤压、超负荷用电、违章使用大功率电器等现象。</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食堂配置防鼠器材，无虫鼠踪迹。</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食堂环境卫生良好，定期消杀。</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高温灼烫部位有防护措施或张贴安全警示标识。</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定点采购治理合格的食品、原材料。</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食材分类储存并及时清理过期变质食品及原材料。</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冷藏设施、消毒柜、留样柜完好有效。</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餐具应按时清洁，定期消毒。</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食堂操作人员穿戴合格，严格按规定作业，按规定留样。</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地面保持干净整洁。</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设备转动部位防护装置完好有效。</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刀具放置稳妥，刀具、案板应生熟分开，张贴标识。</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操作间应通风良好，空调设施良好。</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夏天时配备防暑降温用品。</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维修作业</w:t>
            </w:r>
          </w:p>
        </w:tc>
        <w:tc>
          <w:tcPr>
            <w:tcW w:w="212"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高处维修作业</w:t>
            </w:r>
          </w:p>
        </w:tc>
        <w:tc>
          <w:tcPr>
            <w:tcW w:w="366"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高处坠落/物体打击</w:t>
            </w:r>
          </w:p>
        </w:tc>
        <w:tc>
          <w:tcPr>
            <w:tcW w:w="1366" w:type="pct"/>
            <w:vMerge w:val="restar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1.楼梯及超过2m作业平台应设置护栏，作业爬梯应放置稳妥，设人监护，除抢险作业外，恶劣天气不得室外高处作业。</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2.高处作业人员应佩戴安全带、防滑鞋。</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3.作业时开展现场检查，及时纠正违章行为。</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4.高处作业平台上或临边位置的工具、材料放置应放置稳妥。</w:t>
            </w:r>
          </w:p>
        </w:tc>
        <w:tc>
          <w:tcPr>
            <w:tcW w:w="348"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维修人员</w:t>
            </w: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作业爬梯应放置稳妥，设人监护。</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除抢险作业外，恶劣天气不得室外高处作业。</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高处作业人员应佩戴安全带、防滑鞋。</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作业时开展现场检查，及时纠正违章行为。</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高处作业平台上或临边位置的工具、材料放置应放置稳妥。</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有限空间作业</w:t>
            </w:r>
          </w:p>
        </w:tc>
        <w:tc>
          <w:tcPr>
            <w:tcW w:w="366"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中毒窒息/高处坠落/物体打击</w:t>
            </w:r>
          </w:p>
        </w:tc>
        <w:tc>
          <w:tcPr>
            <w:tcW w:w="1366" w:type="pct"/>
            <w:vMerge w:val="restar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1.作业前应告知相关人员井下基本情况，作业前进行风险及应急处置告知，避免盲目施救。</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2.作业前先进行通风，设专人监护。</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3.井下作业人员宜佩戴呼吸器。</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4.井口周边设置围挡，设置下井专用爬梯。</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5.作业时设置围挡，工具、材料应与井口保持安全距离。</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6.作业人员应穿戴防滑鞋，临边人员应与井口保持安全距离。</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7.作业时开展现场检查，及时纠正违章行为。</w:t>
            </w:r>
          </w:p>
        </w:tc>
        <w:tc>
          <w:tcPr>
            <w:tcW w:w="348"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cs="宋体" w:asciiTheme="minorEastAsia" w:hAnsiTheme="minorEastAsia" w:eastAsiaTheme="minorEastAsia"/>
                <w:kern w:val="0"/>
                <w:sz w:val="20"/>
                <w:szCs w:val="21"/>
              </w:rPr>
              <w:t>作业人员</w:t>
            </w: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作业前应进行作业审批，确保人员、设备及安全措施符合规定。</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工区主任</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作业前应告知相关人员井下基本情况，作业前进行风险及应急处置告知，避免盲目施救。</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工区主任</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作业前先进行通风及检测，设专人监护。</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工区主任</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井下作业人员应佩戴呼吸器、安全带、安全帽。</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工区主任</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井口周边设置围挡及标志，设置下井专用爬梯。</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工区主任</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临边人员、工具、材料应与井口保持安全距离。</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工区主任</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水电维修作业</w:t>
            </w:r>
          </w:p>
        </w:tc>
        <w:tc>
          <w:tcPr>
            <w:tcW w:w="366"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触电/机械伤害</w:t>
            </w:r>
          </w:p>
        </w:tc>
        <w:tc>
          <w:tcPr>
            <w:tcW w:w="1366" w:type="pct"/>
            <w:vMerge w:val="restar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1.作业前检查设备、线路接地及连接情况，进行安全确认后方可作业。</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2.制定并严格落实机电设备检修安全操作规程。</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3.作业前先进行断电，带电作业应使用绝缘工具，设专人监护。</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4.作业前进行停机，设备运转时检修时应保持安全间距，避免穿松散服装。</w:t>
            </w:r>
            <w:r>
              <w:rPr>
                <w:rFonts w:hint="eastAsia" w:cs="宋体" w:asciiTheme="minorEastAsia" w:hAnsiTheme="minorEastAsia" w:eastAsiaTheme="minorEastAsia"/>
                <w:kern w:val="0"/>
                <w:sz w:val="20"/>
                <w:szCs w:val="21"/>
              </w:rPr>
              <w:br w:type="textWrapping"/>
            </w:r>
            <w:r>
              <w:rPr>
                <w:rFonts w:hint="eastAsia" w:cs="宋体" w:asciiTheme="minorEastAsia" w:hAnsiTheme="minorEastAsia" w:eastAsiaTheme="minorEastAsia"/>
                <w:kern w:val="0"/>
                <w:sz w:val="20"/>
                <w:szCs w:val="21"/>
              </w:rPr>
              <w:t>5.使用质量合格的小型作业工具，作业人员佩戴防护手套、护目镜等劳保用品。</w:t>
            </w:r>
          </w:p>
        </w:tc>
        <w:tc>
          <w:tcPr>
            <w:tcW w:w="348" w:type="pct"/>
            <w:vMerge w:val="restar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电工</w:t>
            </w: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作业前检查设备、线路接地及连接情况，进行安全确认后方可作业。</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作业前先进行断电，带电作业应使用绝缘工具，设专人监护。</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作业前进行停机，设备运转时检修时应保持安全间距，避免穿松散服装。</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171"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212"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366"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348" w:type="pct"/>
            <w:vMerge w:val="continue"/>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p>
        </w:tc>
        <w:tc>
          <w:tcPr>
            <w:tcW w:w="1172" w:type="pct"/>
            <w:shd w:val="clear" w:color="auto" w:fill="auto"/>
            <w:tcMar>
              <w:top w:w="15" w:type="dxa"/>
              <w:left w:w="15" w:type="dxa"/>
              <w:right w:w="15" w:type="dxa"/>
            </w:tcMar>
            <w:vAlign w:val="center"/>
          </w:tcPr>
          <w:p>
            <w:pPr>
              <w:spacing w:after="0" w:line="400" w:lineRule="exact"/>
              <w:ind w:left="0" w:firstLine="0"/>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使用质量合格的小型作业工具，作业人员佩戴防护手套、护目镜等劳保用品。</w:t>
            </w:r>
          </w:p>
        </w:tc>
        <w:tc>
          <w:tcPr>
            <w:tcW w:w="206"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211"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4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　</w:t>
            </w:r>
          </w:p>
        </w:tc>
        <w:tc>
          <w:tcPr>
            <w:tcW w:w="183"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w:t>
            </w:r>
          </w:p>
        </w:tc>
        <w:tc>
          <w:tcPr>
            <w:tcW w:w="377"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lang w:bidi="ar"/>
              </w:rPr>
              <w:t>综合管理负责人</w:t>
            </w:r>
          </w:p>
        </w:tc>
        <w:tc>
          <w:tcPr>
            <w:tcW w:w="239" w:type="pct"/>
            <w:shd w:val="clear" w:color="auto" w:fill="auto"/>
            <w:tcMar>
              <w:top w:w="15" w:type="dxa"/>
              <w:left w:w="15" w:type="dxa"/>
              <w:right w:w="15" w:type="dxa"/>
            </w:tcMar>
            <w:vAlign w:val="center"/>
          </w:tcPr>
          <w:p>
            <w:pPr>
              <w:spacing w:after="0" w:line="400" w:lineRule="exact"/>
              <w:ind w:left="0" w:firstLine="0"/>
              <w:jc w:val="center"/>
              <w:rPr>
                <w:rFonts w:cs="宋体" w:asciiTheme="minorEastAsia" w:hAnsiTheme="minorEastAsia" w:eastAsiaTheme="minorEastAsia"/>
                <w:kern w:val="0"/>
                <w:sz w:val="20"/>
                <w:szCs w:val="21"/>
              </w:rPr>
            </w:pPr>
            <w:r>
              <w:rPr>
                <w:rFonts w:hint="eastAsia" w:cs="宋体" w:asciiTheme="minorEastAsia" w:hAnsiTheme="minorEastAsia" w:eastAsiaTheme="minorEastAsia"/>
                <w:kern w:val="0"/>
                <w:sz w:val="20"/>
                <w:szCs w:val="21"/>
              </w:rPr>
              <w:t>作业时</w:t>
            </w:r>
          </w:p>
        </w:tc>
      </w:tr>
    </w:tbl>
    <w:p>
      <w:pPr>
        <w:spacing w:after="0" w:line="240" w:lineRule="auto"/>
        <w:ind w:left="0" w:firstLine="0"/>
        <w:rPr>
          <w:rFonts w:ascii="宋体" w:hAnsi="宋体" w:eastAsia="宋体" w:cs="宋体"/>
          <w:b/>
          <w:kern w:val="0"/>
          <w:szCs w:val="18"/>
        </w:rPr>
      </w:pPr>
    </w:p>
    <w:p>
      <w:pPr>
        <w:spacing w:after="0" w:line="240" w:lineRule="auto"/>
        <w:ind w:left="0" w:firstLine="0"/>
        <w:rPr>
          <w:rFonts w:ascii="宋体" w:hAnsi="宋体" w:eastAsia="宋体" w:cs="宋体"/>
          <w:b/>
          <w:kern w:val="0"/>
          <w:szCs w:val="18"/>
        </w:rPr>
      </w:pPr>
      <w:r>
        <w:rPr>
          <w:rFonts w:ascii="宋体" w:hAnsi="宋体" w:eastAsia="宋体" w:cs="宋体"/>
          <w:b/>
          <w:kern w:val="0"/>
          <w:szCs w:val="18"/>
        </w:rPr>
        <w:br w:type="page"/>
      </w:r>
    </w:p>
    <w:p>
      <w:pPr>
        <w:widowControl w:val="0"/>
        <w:spacing w:after="0" w:line="360" w:lineRule="auto"/>
        <w:ind w:left="0" w:firstLine="482"/>
        <w:jc w:val="both"/>
        <w:outlineLvl w:val="2"/>
        <w:rPr>
          <w:rFonts w:ascii="宋体" w:hAnsi="宋体" w:eastAsia="宋体" w:cs="宋体"/>
          <w:b/>
          <w:kern w:val="0"/>
          <w:szCs w:val="18"/>
        </w:rPr>
      </w:pPr>
      <w:bookmarkStart w:id="44" w:name="_Toc104720413"/>
      <w:bookmarkStart w:id="45" w:name="_Toc105769806"/>
      <w:r>
        <w:rPr>
          <w:rFonts w:hint="eastAsia" w:ascii="宋体" w:hAnsi="宋体" w:eastAsia="宋体" w:cs="宋体"/>
          <w:b/>
          <w:kern w:val="0"/>
          <w:szCs w:val="18"/>
        </w:rPr>
        <w:t>3.</w:t>
      </w:r>
      <w:r>
        <w:rPr>
          <w:rFonts w:ascii="宋体" w:hAnsi="宋体" w:eastAsia="宋体" w:cs="宋体"/>
          <w:b/>
          <w:kern w:val="0"/>
          <w:szCs w:val="18"/>
        </w:rPr>
        <w:t>1</w:t>
      </w:r>
      <w:r>
        <w:rPr>
          <w:rFonts w:hint="eastAsia" w:ascii="宋体" w:hAnsi="宋体" w:eastAsia="宋体" w:cs="宋体"/>
          <w:b/>
          <w:kern w:val="0"/>
          <w:szCs w:val="18"/>
        </w:rPr>
        <w:t>.</w:t>
      </w:r>
      <w:r>
        <w:rPr>
          <w:rFonts w:ascii="宋体" w:hAnsi="宋体" w:eastAsia="宋体" w:cs="宋体"/>
          <w:b/>
          <w:kern w:val="0"/>
          <w:szCs w:val="18"/>
        </w:rPr>
        <w:t>2</w:t>
      </w:r>
      <w:r>
        <w:rPr>
          <w:rFonts w:hint="eastAsia" w:ascii="宋体" w:hAnsi="宋体" w:eastAsia="宋体" w:cs="宋体"/>
          <w:b/>
          <w:kern w:val="0"/>
          <w:szCs w:val="18"/>
        </w:rPr>
        <w:t>养护作业隐患排查清单</w:t>
      </w:r>
      <w:bookmarkEnd w:id="44"/>
      <w:bookmarkEnd w:id="45"/>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w:t>
      </w:r>
      <w:r>
        <w:rPr>
          <w:rFonts w:cs="Calibri" w:asciiTheme="minorEastAsia" w:hAnsiTheme="minorEastAsia" w:eastAsiaTheme="minorEastAsia"/>
          <w:b/>
          <w:color w:val="auto"/>
          <w:sz w:val="22"/>
          <w:szCs w:val="24"/>
        </w:rPr>
        <w:t>2</w:t>
      </w:r>
      <w:r>
        <w:rPr>
          <w:rFonts w:hint="eastAsia" w:cs="Calibri" w:asciiTheme="minorEastAsia" w:hAnsiTheme="minorEastAsia" w:eastAsiaTheme="minorEastAsia"/>
          <w:b/>
          <w:color w:val="auto"/>
          <w:sz w:val="22"/>
          <w:szCs w:val="24"/>
        </w:rPr>
        <w:t>养护作业隐患排查清单</w:t>
      </w:r>
    </w:p>
    <w:tbl>
      <w:tblPr>
        <w:tblStyle w:val="30"/>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580"/>
        <w:gridCol w:w="468"/>
        <w:gridCol w:w="694"/>
        <w:gridCol w:w="637"/>
        <w:gridCol w:w="4042"/>
        <w:gridCol w:w="632"/>
        <w:gridCol w:w="4114"/>
        <w:gridCol w:w="423"/>
        <w:gridCol w:w="426"/>
        <w:gridCol w:w="426"/>
        <w:gridCol w:w="423"/>
        <w:gridCol w:w="709"/>
        <w:gridCol w:w="852"/>
        <w:gridCol w:w="46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序号</w:t>
            </w:r>
          </w:p>
        </w:tc>
        <w:tc>
          <w:tcPr>
            <w:tcW w:w="2173" w:type="pct"/>
            <w:gridSpan w:val="5"/>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风险分级管控</w:t>
            </w:r>
          </w:p>
        </w:tc>
        <w:tc>
          <w:tcPr>
            <w:tcW w:w="2632" w:type="pct"/>
            <w:gridSpan w:val="8"/>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隐患排查治理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vMerge w:val="continue"/>
            <w:vAlign w:val="center"/>
          </w:tcPr>
          <w:p>
            <w:pPr>
              <w:spacing w:after="0" w:line="360" w:lineRule="exact"/>
              <w:ind w:left="0" w:firstLine="0"/>
              <w:rPr>
                <w:rFonts w:ascii="宋体" w:hAnsi="宋体" w:eastAsia="宋体" w:cs="宋体"/>
                <w:b/>
                <w:bCs/>
                <w:kern w:val="0"/>
                <w:sz w:val="18"/>
                <w:szCs w:val="18"/>
              </w:rPr>
            </w:pPr>
          </w:p>
        </w:tc>
        <w:tc>
          <w:tcPr>
            <w:tcW w:w="390" w:type="pct"/>
            <w:gridSpan w:val="2"/>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风险点</w:t>
            </w:r>
            <w:r>
              <w:rPr>
                <w:rFonts w:ascii="Times New Roman" w:hAnsi="Times New Roman" w:eastAsia="宋体" w:cs="Times New Roman"/>
                <w:b/>
                <w:bCs/>
                <w:kern w:val="0"/>
                <w:sz w:val="18"/>
                <w:szCs w:val="18"/>
              </w:rPr>
              <w:t>/</w:t>
            </w:r>
            <w:r>
              <w:rPr>
                <w:rFonts w:hint="eastAsia" w:ascii="宋体" w:hAnsi="宋体" w:eastAsia="宋体" w:cs="宋体"/>
                <w:b/>
                <w:bCs/>
                <w:kern w:val="0"/>
                <w:sz w:val="18"/>
                <w:szCs w:val="18"/>
              </w:rPr>
              <w:t>风险源</w:t>
            </w:r>
          </w:p>
        </w:tc>
        <w:tc>
          <w:tcPr>
            <w:tcW w:w="214"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风险失控表现</w:t>
            </w:r>
          </w:p>
        </w:tc>
        <w:tc>
          <w:tcPr>
            <w:tcW w:w="1357"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风险管控措施</w:t>
            </w:r>
          </w:p>
        </w:tc>
        <w:tc>
          <w:tcPr>
            <w:tcW w:w="212"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失职部门及人员</w:t>
            </w:r>
          </w:p>
        </w:tc>
        <w:tc>
          <w:tcPr>
            <w:tcW w:w="1381"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隐患排查内容与标准</w:t>
            </w:r>
          </w:p>
        </w:tc>
        <w:tc>
          <w:tcPr>
            <w:tcW w:w="285" w:type="pct"/>
            <w:gridSpan w:val="2"/>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日常</w:t>
            </w:r>
          </w:p>
        </w:tc>
        <w:tc>
          <w:tcPr>
            <w:tcW w:w="143"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定期排查</w:t>
            </w:r>
          </w:p>
        </w:tc>
        <w:tc>
          <w:tcPr>
            <w:tcW w:w="142"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专项排查</w:t>
            </w:r>
          </w:p>
        </w:tc>
        <w:tc>
          <w:tcPr>
            <w:tcW w:w="238"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责任部门</w:t>
            </w:r>
          </w:p>
        </w:tc>
        <w:tc>
          <w:tcPr>
            <w:tcW w:w="286"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责任人</w:t>
            </w:r>
          </w:p>
        </w:tc>
        <w:tc>
          <w:tcPr>
            <w:tcW w:w="157" w:type="pct"/>
            <w:vMerge w:val="restar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vMerge w:val="continue"/>
            <w:vAlign w:val="center"/>
          </w:tcPr>
          <w:p>
            <w:pPr>
              <w:spacing w:after="0" w:line="360" w:lineRule="exact"/>
              <w:ind w:left="0" w:firstLine="0"/>
              <w:rPr>
                <w:rFonts w:ascii="宋体" w:hAnsi="宋体" w:eastAsia="宋体" w:cs="宋体"/>
                <w:b/>
                <w:bCs/>
                <w:kern w:val="0"/>
                <w:sz w:val="18"/>
                <w:szCs w:val="18"/>
              </w:rPr>
            </w:pPr>
          </w:p>
        </w:tc>
        <w:tc>
          <w:tcPr>
            <w:tcW w:w="390" w:type="pct"/>
            <w:gridSpan w:val="2"/>
            <w:vMerge w:val="continue"/>
            <w:vAlign w:val="center"/>
          </w:tcPr>
          <w:p>
            <w:pPr>
              <w:spacing w:after="0" w:line="360" w:lineRule="exact"/>
              <w:ind w:left="0" w:firstLine="0"/>
              <w:rPr>
                <w:rFonts w:ascii="宋体" w:hAnsi="宋体" w:eastAsia="宋体" w:cs="宋体"/>
                <w:b/>
                <w:bCs/>
                <w:kern w:val="0"/>
                <w:sz w:val="18"/>
                <w:szCs w:val="18"/>
              </w:rPr>
            </w:pPr>
          </w:p>
        </w:tc>
        <w:tc>
          <w:tcPr>
            <w:tcW w:w="214" w:type="pct"/>
            <w:vMerge w:val="continue"/>
            <w:vAlign w:val="center"/>
          </w:tcPr>
          <w:p>
            <w:pPr>
              <w:spacing w:after="0" w:line="360" w:lineRule="exact"/>
              <w:ind w:left="0" w:firstLine="0"/>
              <w:rPr>
                <w:rFonts w:ascii="宋体" w:hAnsi="宋体" w:eastAsia="宋体" w:cs="宋体"/>
                <w:b/>
                <w:bCs/>
                <w:kern w:val="0"/>
                <w:sz w:val="18"/>
                <w:szCs w:val="18"/>
              </w:rPr>
            </w:pPr>
          </w:p>
        </w:tc>
        <w:tc>
          <w:tcPr>
            <w:tcW w:w="1357" w:type="pct"/>
            <w:vMerge w:val="continue"/>
            <w:vAlign w:val="center"/>
          </w:tcPr>
          <w:p>
            <w:pPr>
              <w:spacing w:after="0" w:line="360" w:lineRule="exact"/>
              <w:ind w:left="0" w:firstLine="0"/>
              <w:rPr>
                <w:rFonts w:ascii="宋体" w:hAnsi="宋体" w:eastAsia="宋体" w:cs="宋体"/>
                <w:b/>
                <w:bCs/>
                <w:kern w:val="0"/>
                <w:sz w:val="18"/>
                <w:szCs w:val="18"/>
              </w:rPr>
            </w:pPr>
          </w:p>
        </w:tc>
        <w:tc>
          <w:tcPr>
            <w:tcW w:w="212" w:type="pct"/>
            <w:vMerge w:val="continue"/>
            <w:vAlign w:val="center"/>
          </w:tcPr>
          <w:p>
            <w:pPr>
              <w:spacing w:after="0" w:line="360" w:lineRule="exact"/>
              <w:ind w:left="0" w:firstLine="0"/>
              <w:rPr>
                <w:rFonts w:ascii="宋体" w:hAnsi="宋体" w:eastAsia="宋体" w:cs="宋体"/>
                <w:b/>
                <w:bCs/>
                <w:kern w:val="0"/>
                <w:sz w:val="18"/>
                <w:szCs w:val="18"/>
              </w:rPr>
            </w:pPr>
          </w:p>
        </w:tc>
        <w:tc>
          <w:tcPr>
            <w:tcW w:w="1381" w:type="pct"/>
            <w:vMerge w:val="continue"/>
            <w:vAlign w:val="center"/>
          </w:tcPr>
          <w:p>
            <w:pPr>
              <w:spacing w:after="0" w:line="360" w:lineRule="exact"/>
              <w:ind w:left="0" w:firstLine="0"/>
              <w:rPr>
                <w:rFonts w:ascii="宋体" w:hAnsi="宋体" w:eastAsia="宋体" w:cs="宋体"/>
                <w:b/>
                <w:bCs/>
                <w:kern w:val="0"/>
                <w:sz w:val="18"/>
                <w:szCs w:val="18"/>
              </w:rPr>
            </w:pPr>
          </w:p>
        </w:tc>
        <w:tc>
          <w:tcPr>
            <w:tcW w:w="142" w:type="pc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日查</w:t>
            </w:r>
          </w:p>
        </w:tc>
        <w:tc>
          <w:tcPr>
            <w:tcW w:w="143" w:type="pct"/>
            <w:shd w:val="clear" w:color="000000" w:fill="F2F2F2"/>
            <w:vAlign w:val="center"/>
          </w:tcPr>
          <w:p>
            <w:pPr>
              <w:spacing w:after="0" w:line="360" w:lineRule="exact"/>
              <w:ind w:left="0" w:firstLine="0"/>
              <w:jc w:val="center"/>
              <w:rPr>
                <w:rFonts w:ascii="宋体" w:hAnsi="宋体" w:eastAsia="宋体" w:cs="宋体"/>
                <w:b/>
                <w:bCs/>
                <w:kern w:val="0"/>
                <w:sz w:val="18"/>
                <w:szCs w:val="18"/>
              </w:rPr>
            </w:pPr>
            <w:r>
              <w:rPr>
                <w:rFonts w:hint="eastAsia" w:ascii="宋体" w:hAnsi="宋体" w:eastAsia="宋体" w:cs="宋体"/>
                <w:b/>
                <w:bCs/>
                <w:kern w:val="0"/>
                <w:sz w:val="18"/>
                <w:szCs w:val="18"/>
              </w:rPr>
              <w:t>周查</w:t>
            </w:r>
          </w:p>
        </w:tc>
        <w:tc>
          <w:tcPr>
            <w:tcW w:w="143" w:type="pct"/>
            <w:vMerge w:val="continue"/>
            <w:vAlign w:val="center"/>
          </w:tcPr>
          <w:p>
            <w:pPr>
              <w:spacing w:after="0" w:line="360" w:lineRule="exact"/>
              <w:ind w:left="0" w:firstLine="0"/>
              <w:rPr>
                <w:rFonts w:ascii="宋体" w:hAnsi="宋体" w:eastAsia="宋体" w:cs="宋体"/>
                <w:b/>
                <w:bCs/>
                <w:kern w:val="0"/>
                <w:sz w:val="18"/>
                <w:szCs w:val="18"/>
              </w:rPr>
            </w:pPr>
          </w:p>
        </w:tc>
        <w:tc>
          <w:tcPr>
            <w:tcW w:w="142" w:type="pct"/>
            <w:vMerge w:val="continue"/>
            <w:vAlign w:val="center"/>
          </w:tcPr>
          <w:p>
            <w:pPr>
              <w:spacing w:after="0" w:line="360" w:lineRule="exact"/>
              <w:ind w:left="0" w:firstLine="0"/>
              <w:rPr>
                <w:rFonts w:ascii="宋体" w:hAnsi="宋体" w:eastAsia="宋体" w:cs="宋体"/>
                <w:b/>
                <w:bCs/>
                <w:kern w:val="0"/>
                <w:sz w:val="18"/>
                <w:szCs w:val="18"/>
              </w:rPr>
            </w:pPr>
          </w:p>
        </w:tc>
        <w:tc>
          <w:tcPr>
            <w:tcW w:w="238" w:type="pct"/>
            <w:vMerge w:val="continue"/>
            <w:vAlign w:val="center"/>
          </w:tcPr>
          <w:p>
            <w:pPr>
              <w:spacing w:after="0" w:line="360" w:lineRule="exact"/>
              <w:ind w:left="0" w:firstLine="0"/>
              <w:rPr>
                <w:rFonts w:ascii="宋体" w:hAnsi="宋体" w:eastAsia="宋体" w:cs="宋体"/>
                <w:b/>
                <w:bCs/>
                <w:kern w:val="0"/>
                <w:sz w:val="18"/>
                <w:szCs w:val="18"/>
              </w:rPr>
            </w:pPr>
          </w:p>
        </w:tc>
        <w:tc>
          <w:tcPr>
            <w:tcW w:w="286" w:type="pct"/>
            <w:vMerge w:val="continue"/>
            <w:vAlign w:val="center"/>
          </w:tcPr>
          <w:p>
            <w:pPr>
              <w:spacing w:after="0" w:line="360" w:lineRule="exact"/>
              <w:ind w:left="0" w:firstLine="0"/>
              <w:rPr>
                <w:rFonts w:ascii="宋体" w:hAnsi="宋体" w:eastAsia="宋体" w:cs="宋体"/>
                <w:b/>
                <w:bCs/>
                <w:kern w:val="0"/>
                <w:sz w:val="18"/>
                <w:szCs w:val="18"/>
              </w:rPr>
            </w:pPr>
          </w:p>
        </w:tc>
        <w:tc>
          <w:tcPr>
            <w:tcW w:w="157" w:type="pct"/>
            <w:vMerge w:val="continue"/>
            <w:vAlign w:val="center"/>
          </w:tcPr>
          <w:p>
            <w:pPr>
              <w:spacing w:after="0" w:line="360" w:lineRule="exact"/>
              <w:ind w:left="0" w:firstLine="0"/>
              <w:rPr>
                <w:rFonts w:ascii="宋体" w:hAnsi="宋体" w:eastAsia="宋体" w:cs="宋体"/>
                <w:b/>
                <w:bCs/>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作业准备</w:t>
            </w: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设备及物资装卸（院区）</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起重伤害/物体打击/车辆伤害/挤压伤害等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1.选择与设备及物资重量适应的吊运设备，严禁超载。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2.吊运前检查吊运设备周边环境安全确认，基础及支腿的稳固性，钢丝绳、吊钩及其他安全设施的齐全有效性，并进行试吊。</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3.散物要捆绑牢固，尽量采取包装后装卸，严禁高抛低接。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4.抬卸大件物品时应有足够的人力，设专人指挥。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5.对库房的管柱类物品进行装卸时，应自上而下，严禁掏底。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6.司机室应视野良好，并设专人进行指挥，与司机密切配合。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7.夜间应确保照明情况良好，雨雪、六级及以上大风等恶劣天气严禁吊装作业。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8.装卸作业人员应穿戴合格服装、防砸鞋等。</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9.装卸作业时有专人指挥，吊运过程如遇紧急情况，应及时紧急停车、疏散人员。</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10.院内设置限速标志和减速设施，车辆出入库时设专人指挥，速度不得超过5km/h。</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11.车辆出入库时，相关装卸人员应远离车辆，避免站在驾驶员视线盲区。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12.装卸前车辆应停稳，拉手刹，驾驶员对车辆安全状况进行确认。</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13.加强员工（含驾驶员）安全教育培训，提高人员安全意识。</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物资材料负责人</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吊运设备与物资重量相适应，进行试吊。</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吊运设备及周边环境安全，基础及支腿稳固。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钢丝绳、吊钩及其他安全设施完好。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司机室视野良好，有专人指挥。</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夜间照明情况良好。</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作业</w:t>
            </w:r>
            <w:r>
              <w:rPr>
                <w:rFonts w:hint="eastAsia" w:ascii="宋体" w:hAnsi="宋体" w:eastAsia="宋体" w:cs="宋体"/>
                <w:kern w:val="0"/>
                <w:sz w:val="18"/>
                <w:szCs w:val="18"/>
              </w:rPr>
              <w:t>天气情况良好。</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散物捆绑牢固，人力装卸力量足够。</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作业规范</w:t>
            </w:r>
            <w:r>
              <w:rPr>
                <w:rFonts w:hint="eastAsia" w:ascii="宋体" w:hAnsi="宋体" w:eastAsia="宋体" w:cs="宋体"/>
                <w:kern w:val="0"/>
                <w:sz w:val="18"/>
                <w:szCs w:val="18"/>
              </w:rPr>
              <w:t>，</w:t>
            </w:r>
            <w:r>
              <w:rPr>
                <w:rFonts w:ascii="宋体" w:hAnsi="宋体" w:eastAsia="宋体" w:cs="宋体"/>
                <w:kern w:val="0"/>
                <w:sz w:val="18"/>
                <w:szCs w:val="18"/>
              </w:rPr>
              <w:t>无</w:t>
            </w:r>
            <w:r>
              <w:rPr>
                <w:rFonts w:hint="eastAsia" w:ascii="宋体" w:hAnsi="宋体" w:eastAsia="宋体" w:cs="宋体"/>
                <w:kern w:val="0"/>
                <w:sz w:val="18"/>
                <w:szCs w:val="18"/>
              </w:rPr>
              <w:t>高抛低接、掏底行为。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气瓶无敲击、碰撞、抛接、吸烟等违章行为。</w:t>
            </w:r>
            <w:r>
              <w:rPr>
                <w:rFonts w:ascii="宋体" w:hAnsi="宋体" w:eastAsia="宋体" w:cs="宋体"/>
                <w:kern w:val="0"/>
                <w:sz w:val="18"/>
                <w:szCs w:val="18"/>
              </w:rPr>
              <w:t xml:space="preserve"> </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机械设备负责人</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车辆出入库时专人指挥，无关人员远离车辆。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装卸前车辆停稳，车辆已停车制动。</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易燃易爆气瓶装立放置并稳固。</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气瓶</w:t>
            </w:r>
            <w:r>
              <w:rPr>
                <w:rFonts w:hint="eastAsia" w:ascii="宋体" w:hAnsi="宋体" w:eastAsia="宋体" w:cs="宋体"/>
                <w:kern w:val="0"/>
                <w:sz w:val="18"/>
                <w:szCs w:val="18"/>
              </w:rPr>
              <w:t>周边无热源和电气设备卸时禁止。</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装卸人员穿戴作业服装、防护手套、防砸鞋。</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道路运输</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1.按规定定期对车辆及养护设备进行维护保养，夏季、冬季等特殊季节对车辆进行预防性维护。</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2.作业前对车辆及养护设备运行情况进行检查，包括燃油、润滑油、轮胎、制动系统、水箱、灯光等，严禁带病运行；对养护车辆及设备的警灯、警示标志等安全防护进行检查确认。</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3.根据计划和安排的养护作业项目装载安全标志、标牌及设施，种类、数量和使用状况要满足安全生产规定和要求。</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4.按规定的吨位装载货物，超长、超宽、超宽物品装运时要悬挂明显标志，并按规定路线行驶。</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5.运输前进行安全检查，确保设备物资装设稳固，零散件应捆绑牢固。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6.合理安排当班驾驶员，驾驶员要严格遵守道路交通规则。对驾驶过程中的违章行为要及时制止。</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7.定期对对驾驶人员进行安全教育培训和考核，提高驾驶人员道路交通安全意识。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8.雨雪雾等恶劣天气减少道路养护作业。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 冰雪天气时，视情况对车辆采取防滑措施。</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机械设备负责人、安全员、工区主任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车辆及养护设备及时进行维护保养，并有维修保养记录。</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每月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车辆燃油、润滑油、轮胎、制动系统、水箱、灯光正常。</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驾驶员</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3"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养护车辆警灯、标志等安全设施正常。</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按规定吨位装载货物。</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超长、超宽、超宽物品装运牢固。</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零散件应捆绑牢固，运输前进行安全确认。</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tcBorders>
              <w:bottom w:val="single" w:color="auto" w:sz="4" w:space="0"/>
            </w:tcBorders>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驾驶人员定期进行安全教育培训和考核。</w:t>
            </w:r>
          </w:p>
        </w:tc>
        <w:tc>
          <w:tcPr>
            <w:tcW w:w="142" w:type="pct"/>
            <w:tcBorders>
              <w:bottom w:val="single" w:color="auto" w:sz="4" w:space="0"/>
            </w:tcBorders>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tcBorders>
              <w:bottom w:val="single" w:color="auto" w:sz="4" w:space="0"/>
            </w:tcBorders>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tcBorders>
              <w:bottom w:val="single" w:color="auto" w:sz="4" w:space="0"/>
            </w:tcBorders>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tcBorders>
              <w:bottom w:val="single" w:color="auto" w:sz="4" w:space="0"/>
            </w:tcBorders>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238" w:type="pct"/>
            <w:tcBorders>
              <w:bottom w:val="single" w:color="auto" w:sz="4" w:space="0"/>
            </w:tcBorders>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tcBorders>
              <w:bottom w:val="single" w:color="auto" w:sz="4" w:space="0"/>
            </w:tcBorders>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tcBorders>
              <w:bottom w:val="single" w:color="auto" w:sz="4" w:space="0"/>
            </w:tcBorders>
            <w:shd w:val="clear" w:color="auto" w:fill="auto"/>
            <w:vAlign w:val="center"/>
          </w:tcPr>
          <w:p>
            <w:pPr>
              <w:spacing w:after="0" w:line="360" w:lineRule="exact"/>
              <w:ind w:left="0"/>
              <w:rPr>
                <w:rFonts w:ascii="宋体" w:hAnsi="宋体" w:eastAsia="宋体" w:cs="宋体"/>
                <w:kern w:val="0"/>
                <w:sz w:val="18"/>
                <w:szCs w:val="18"/>
              </w:rPr>
            </w:pPr>
            <w:r>
              <w:rPr>
                <w:rFonts w:hint="eastAsia" w:ascii="宋体" w:hAnsi="宋体" w:eastAsia="宋体" w:cs="宋体"/>
                <w:kern w:val="0"/>
                <w:sz w:val="18"/>
                <w:szCs w:val="18"/>
              </w:rPr>
              <w:t>　每月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tcBorders>
              <w:top w:val="single" w:color="auto" w:sz="4" w:space="0"/>
            </w:tcBorders>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对驾驶人员的驾驶行为和记录进行检查。</w:t>
            </w:r>
          </w:p>
        </w:tc>
        <w:tc>
          <w:tcPr>
            <w:tcW w:w="142" w:type="pct"/>
            <w:vMerge w:val="restart"/>
            <w:tcBorders>
              <w:top w:val="single" w:color="auto" w:sz="4" w:space="0"/>
            </w:tcBorders>
            <w:vAlign w:val="center"/>
          </w:tcPr>
          <w:p>
            <w:pPr>
              <w:spacing w:after="0" w:line="360" w:lineRule="exact"/>
              <w:ind w:left="0"/>
              <w:rPr>
                <w:rFonts w:ascii="宋体" w:hAnsi="宋体" w:eastAsia="宋体" w:cs="宋体"/>
                <w:kern w:val="0"/>
                <w:sz w:val="18"/>
                <w:szCs w:val="18"/>
              </w:rPr>
            </w:pPr>
          </w:p>
        </w:tc>
        <w:tc>
          <w:tcPr>
            <w:tcW w:w="143" w:type="pct"/>
            <w:vMerge w:val="restart"/>
            <w:tcBorders>
              <w:top w:val="single" w:color="auto" w:sz="4" w:space="0"/>
            </w:tcBorders>
            <w:vAlign w:val="center"/>
          </w:tcPr>
          <w:p>
            <w:pPr>
              <w:spacing w:after="0" w:line="360" w:lineRule="exact"/>
              <w:ind w:left="0"/>
              <w:rPr>
                <w:rFonts w:ascii="宋体" w:hAnsi="宋体" w:eastAsia="宋体" w:cs="宋体"/>
                <w:kern w:val="0"/>
                <w:sz w:val="18"/>
                <w:szCs w:val="18"/>
              </w:rPr>
            </w:pPr>
            <w:r>
              <w:rPr>
                <w:rFonts w:hint="eastAsia" w:ascii="宋体" w:hAnsi="宋体" w:eastAsia="宋体" w:cs="宋体"/>
                <w:kern w:val="0"/>
                <w:sz w:val="18"/>
                <w:szCs w:val="18"/>
              </w:rPr>
              <w:t>√</w:t>
            </w:r>
          </w:p>
        </w:tc>
        <w:tc>
          <w:tcPr>
            <w:tcW w:w="143" w:type="pct"/>
            <w:vMerge w:val="restart"/>
            <w:tcBorders>
              <w:top w:val="single" w:color="auto" w:sz="4" w:space="0"/>
            </w:tcBorders>
            <w:vAlign w:val="center"/>
          </w:tcPr>
          <w:p>
            <w:pPr>
              <w:spacing w:after="0" w:line="360" w:lineRule="exact"/>
              <w:ind w:left="0" w:firstLine="0"/>
              <w:rPr>
                <w:rFonts w:ascii="宋体" w:hAnsi="宋体" w:eastAsia="宋体" w:cs="宋体"/>
                <w:kern w:val="0"/>
                <w:sz w:val="18"/>
                <w:szCs w:val="18"/>
              </w:rPr>
            </w:pPr>
          </w:p>
        </w:tc>
        <w:tc>
          <w:tcPr>
            <w:tcW w:w="142" w:type="pct"/>
            <w:vMerge w:val="restart"/>
            <w:tcBorders>
              <w:top w:val="single" w:color="auto" w:sz="4" w:space="0"/>
            </w:tcBorders>
            <w:vAlign w:val="center"/>
          </w:tcPr>
          <w:p>
            <w:pPr>
              <w:spacing w:after="0" w:line="360" w:lineRule="exact"/>
              <w:ind w:left="0"/>
              <w:rPr>
                <w:rFonts w:ascii="宋体" w:hAnsi="宋体" w:eastAsia="宋体" w:cs="宋体"/>
                <w:kern w:val="0"/>
                <w:sz w:val="18"/>
                <w:szCs w:val="18"/>
              </w:rPr>
            </w:pPr>
          </w:p>
        </w:tc>
        <w:tc>
          <w:tcPr>
            <w:tcW w:w="238" w:type="pct"/>
            <w:vMerge w:val="restart"/>
            <w:tcBorders>
              <w:top w:val="single" w:color="auto" w:sz="4" w:space="0"/>
            </w:tcBorders>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vMerge w:val="restart"/>
            <w:tcBorders>
              <w:top w:val="single" w:color="auto" w:sz="4" w:space="0"/>
            </w:tcBorders>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值班主任</w:t>
            </w:r>
          </w:p>
        </w:tc>
        <w:tc>
          <w:tcPr>
            <w:tcW w:w="157" w:type="pct"/>
            <w:vMerge w:val="restart"/>
            <w:tcBorders>
              <w:top w:val="single" w:color="auto" w:sz="4" w:space="0"/>
            </w:tcBorders>
            <w:vAlign w:val="center"/>
          </w:tcPr>
          <w:p>
            <w:pPr>
              <w:spacing w:after="0" w:line="360" w:lineRule="exact"/>
              <w:ind w:left="0"/>
              <w:rPr>
                <w:rFonts w:ascii="宋体" w:hAnsi="宋体" w:eastAsia="宋体" w:cs="宋体"/>
                <w:kern w:val="0"/>
                <w:sz w:val="18"/>
                <w:szCs w:val="18"/>
              </w:rPr>
            </w:pPr>
            <w:r>
              <w:rPr>
                <w:rFonts w:hint="eastAsia" w:ascii="宋体" w:hAnsi="宋体" w:eastAsia="宋体" w:cs="宋体"/>
                <w:kern w:val="0"/>
                <w:sz w:val="18"/>
                <w:szCs w:val="18"/>
              </w:rPr>
              <w:t>　每月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雨雪雾等恶劣天气未安排道路养护作业。</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作业控制区布设</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布设作业区时应顺着交通流方向设置安全设施，按照先上游后下游、先应急车道后中央分隔带、先标志后设施的次序顺车流方向摆设。作业完成后，应逆着交通流方向撤除为养护维修作业而设置的有关安全设施，恢复正常交通。拆除安全标志应按照先中央分隔带后应急车道的次序逆车流方向拆除。</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2.公路养护作业未完成前，不得擅自改变作业控制区的范围和安全设施的布设位置。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3.养护作业人员在进行作业区布设时，应设置专人在上游指挥交通、警戒，发现异常情况时及时提醒作业人员避让。</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4.养护作业人员应按有关规定穿着反光服，佩戴安全帽，站立在警告区非行车及视线良好区域内，并迎交通流方向。</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5.过渡区内不得堆放材料、设备或停放车辆，摆放的作业机械、车辆和堆放的施工材料不得侵占作业控制区外的空间。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6.定期组织养护安全和业务教育培训，提高作业人员安全意识和作业技能。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7.作业前开展岗前安全技术交底和培训。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8.作业区布设应符合《公路养护安全作业规程》等相关规定，布设完成后进行安全确认，并开展作业中安全检查，对不符合技术要求的及时纠正。</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9.收费站作业时，视影响情况通知指调中心、收费部封闭相应车道，进行各类养护作业时不得全部封闭单向收费车道。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10.合理安排作业计划，避开大流量交通、恶劣天气。</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11.危险路段、恶劣天气、夜间作业时，应加强现场防护和个体防护，夜间养护作业应布设照明设施、警示频闪灯、语音提示等。</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12.作业前对标志、标牌、锥桶、防撞桶等进行安全检查，对不符合的应及时更换。</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13.养护作业安全标志、标牌、锥桶等应摆放位置合理（护栏外）、角度得当（不得被遮挡）。</w:t>
            </w:r>
            <w:r>
              <w:rPr>
                <w:rFonts w:hint="eastAsia" w:ascii="宋体" w:hAnsi="宋体" w:eastAsia="宋体" w:cs="宋体"/>
                <w:kern w:val="0"/>
                <w:sz w:val="18"/>
                <w:szCs w:val="18"/>
              </w:rPr>
              <w:br w:type="textWrapping"/>
            </w:r>
            <w:r>
              <w:rPr>
                <w:rFonts w:hint="eastAsia" w:ascii="宋体" w:hAnsi="宋体" w:eastAsia="宋体" w:cs="宋体"/>
                <w:kern w:val="0"/>
                <w:sz w:val="18"/>
                <w:szCs w:val="18"/>
              </w:rPr>
              <w:t>所有标志标牌的固定应确保其稳定，并不得对既有道路及护栏、标志等安全设施的功能造成影响。恶劣天气要加密巡查，对倾倒、移位的要及时扶正、还原。</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14.开展作业中安全检查，对违章行为及时制止和纠正。</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按规定组织安全教育和业务培训。</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按计划</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作业前开展了安全技术交底。</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安全设施携带齐全有效</w:t>
            </w:r>
            <w:r>
              <w:rPr>
                <w:rFonts w:hint="eastAsia" w:ascii="宋体" w:hAnsi="宋体" w:eastAsia="宋体" w:cs="宋体"/>
                <w:kern w:val="0"/>
                <w:sz w:val="18"/>
                <w:szCs w:val="18"/>
              </w:rPr>
              <w:t>。</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养护作业人员着装得当、身体精神状态良好。</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按照《公路养护安全作业规程》设置养护作业控制区。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作业未完成前，未擅自改变作业控制区的范围和安全设施的布设位置。</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收费站尚应符合以下规定：对收费秩序、交通运营安全未造成明显影响，有安全影响时封闭相应车道。</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过渡区内未堆放材料、设备或停放车辆。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作业机械、车辆和施工材料未侵占作业控制区外的空间。</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作业计划安排合理，恶劣天气及夜间未安排作业。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必须作业时现场设置照明设施、警示频闪灯、语音提示等。</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作业区布设时，设置专人在上游指挥交通、警戒，发现异常情况时及时提醒作业人员避让。</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286"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交通引导人员站立在警告区非行车及视线良好区域内，并迎交通流方向。</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标志、标牌、锥桶、防撞桶等摆放位置合理，放置稳固，未被遮挡和影响交通安全设施。</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作业人员穿戴反光服（夜间自发光）、手电、肩灯等防护用品。</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设备及物资装卸（道路）</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起重伤害/物体打击/车辆伤害/高处坠落/挤压伤害等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1.养护作业车辆选择在应急车道临时停驻，不宜选择急弯陡坡、视距不良、变速车道等位置停车。</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2.停驻前注意观察侧后方来车，确认安全后缓慢停驻，装卸及养护人员应从右侧下车。</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3.选择与设备及物资重量适应的吊运设备，严禁超载。吊运前检查吊运设备周边环境安全确认，基础及支腿的稳固性，钢丝绳、吊钩及其他安全设施的齐全有效性，并进行试吊。</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4.散物要捆绑牢固，尽量采取包装后装卸，严禁高抛低接，装卸时应指导人员搬运合适的位置，并放置稳妥。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5.抬卸时大件物品时应有足够的人力，设专人指挥。对库房的管柱类物品进行装卸时，应自上而下，严禁掏底。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6.司机室应视野良好，并设专人进行指挥，与司机密切配合。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7.夜间应确保照明情况良好，雨雪、六级及以上大风等恶劣天气严禁吊装作业。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8.装卸作业人员应穿戴合格服装、防砸鞋等。</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9.设置专人指挥和人员警戒，吊运过程如遇紧急情况，应及时紧急停车、疏散人员。</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10.装卸前车辆应停稳，拉手刹，驾驶员对车辆安全状况进行确认，装卸人员应靠近安全一侧作业。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11.加强员工（含驾驶员）安全教育培训，提高人员安全意识。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12.作业人员按规定穿戴防护手套、防砸鞋等劳保用品。</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13.人员及机械设备、物资材料作业时应与边缘保持安全距离，装卸人员应靠近安全一侧作业，随时观察过往车辆。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14.作业完毕，整理现场，恢复原貌，及时撤除安全标志、旗帜，安排专人进行现场安全确认。</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雨雪、六级及以上大风等恶劣天气未安排道路养护作业。</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vMerge w:val="restart"/>
            <w:shd w:val="clear" w:color="auto" w:fill="auto"/>
            <w:vAlign w:val="center"/>
          </w:tcPr>
          <w:p>
            <w:pPr>
              <w:spacing w:after="0" w:line="360" w:lineRule="exact"/>
              <w:ind w:left="0" w:firstLine="0"/>
              <w:rPr>
                <w:rFonts w:ascii="宋体" w:hAnsi="宋体" w:eastAsia="宋体" w:cs="宋体"/>
                <w:kern w:val="0"/>
                <w:sz w:val="18"/>
                <w:szCs w:val="18"/>
              </w:rPr>
            </w:pPr>
          </w:p>
        </w:tc>
        <w:tc>
          <w:tcPr>
            <w:tcW w:w="238"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吊运设备与物资重量相适应，进行试吊。</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吊运设备及周边环境安全，基础及支腿稳固。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钢丝绳、吊钩及其他安全设施完好。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司机室视野良好，有专人指挥。</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养护作业车辆选择在应急车道临时停驻，未在急弯陡坡、视距不良、变速车道等位置停车。</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停驻前注意观察侧后方来车，装卸及养护人员应从右侧下车。</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shd w:val="clear" w:color="auto" w:fill="auto"/>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散物捆绑牢固，装卸时自上而下，严禁高抛。</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气瓶装卸时禁止敲击、碰撞、抛接、吸烟等</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29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易燃易爆气瓶直立放置并稳固。</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气瓶</w:t>
            </w:r>
            <w:r>
              <w:rPr>
                <w:rFonts w:hint="eastAsia" w:ascii="宋体" w:hAnsi="宋体" w:eastAsia="宋体" w:cs="宋体"/>
                <w:kern w:val="0"/>
                <w:sz w:val="18"/>
                <w:szCs w:val="18"/>
              </w:rPr>
              <w:t>周边无热源和电气设备。</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装卸时设置专人指挥、警示。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装卸人员穿戴作业服装、防护手套、防砸鞋。</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靠近非车流一侧作业。</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人员及机械设备、物资材料作业时与边缘保持安全距离。</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作业完毕现场整理干净，及时清理安全标志、作业设备及材料。</w:t>
            </w: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3" w:type="pct"/>
            <w:vMerge w:val="continue"/>
            <w:vAlign w:val="center"/>
          </w:tcPr>
          <w:p>
            <w:pPr>
              <w:spacing w:after="0" w:line="360" w:lineRule="exact"/>
              <w:ind w:left="0" w:firstLine="0"/>
              <w:rPr>
                <w:rFonts w:ascii="宋体" w:hAnsi="宋体" w:eastAsia="宋体" w:cs="宋体"/>
                <w:kern w:val="0"/>
                <w:sz w:val="18"/>
                <w:szCs w:val="18"/>
              </w:rPr>
            </w:pPr>
          </w:p>
        </w:tc>
        <w:tc>
          <w:tcPr>
            <w:tcW w:w="142" w:type="pct"/>
            <w:vMerge w:val="continue"/>
            <w:vAlign w:val="center"/>
          </w:tcPr>
          <w:p>
            <w:pPr>
              <w:spacing w:after="0" w:line="360" w:lineRule="exact"/>
              <w:ind w:left="0" w:firstLine="0"/>
              <w:rPr>
                <w:rFonts w:ascii="宋体" w:hAnsi="宋体" w:eastAsia="宋体" w:cs="宋体"/>
                <w:kern w:val="0"/>
                <w:sz w:val="18"/>
                <w:szCs w:val="18"/>
              </w:rPr>
            </w:pPr>
          </w:p>
        </w:tc>
        <w:tc>
          <w:tcPr>
            <w:tcW w:w="238" w:type="pct"/>
            <w:vMerge w:val="continue"/>
            <w:vAlign w:val="center"/>
          </w:tcPr>
          <w:p>
            <w:pPr>
              <w:spacing w:after="0" w:line="360" w:lineRule="exact"/>
              <w:ind w:left="0" w:firstLine="0"/>
              <w:rPr>
                <w:rFonts w:ascii="宋体" w:hAnsi="宋体" w:eastAsia="宋体" w:cs="宋体"/>
                <w:kern w:val="0"/>
                <w:sz w:val="18"/>
                <w:szCs w:val="18"/>
              </w:rPr>
            </w:pPr>
          </w:p>
        </w:tc>
        <w:tc>
          <w:tcPr>
            <w:tcW w:w="286" w:type="pct"/>
            <w:vMerge w:val="continue"/>
            <w:vAlign w:val="center"/>
          </w:tcPr>
          <w:p>
            <w:pPr>
              <w:spacing w:after="0" w:line="360" w:lineRule="exact"/>
              <w:ind w:left="0" w:firstLine="0"/>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34</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日常养护</w:t>
            </w: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路基养护</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车辆伤害/交通事故/坍塌/高处坠落/淹溺/火灾/其他</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1.按规定上报指调中心施工作业，指调中心根据作业时间，利用可变情报板等及时发布施工信息。</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2.按规范设置养护作业控制区，摆放标志、安全设施、设置交通引导人员等，作业未完成前不得擅自改变或移动。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3.作业期间检查作业区及安全标志、防护设施设置情况、人员安全作业情况。</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4.定期组织养护安全和业务教育培训，提高作业人员安全意识和作业技能，特殊路段、天气等作业时加强安全技术交底和培训。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5.作业前开展岗前安全技术交底和培训，开展作业中安全检查，对违章行为及时制止和纠正。</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6.合理安排作业计划，雨雪、雾霾等恶劣天气及交通量较大时段不宜安排作业。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7.合理安排作业人员，精神、身体状况不良人员不宜安排当天作业。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8.租用设备时，应与相关单位、个人签订安全协议，明确双方责任，并进行安全技术交底。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9.作业机械车辆应停放于稳固的位置，机械作业半径范围内不得站人，作业前确认机械设备周边环境，对可能造成影响的应进行标注，或设置防护措施，并设专人警戒、指挥。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10.作业前检查润滑油油位、冷却液液位、燃油量及各个管路及接头有无漏油漏水现象，电气线路有无破损、连接是否松动等。加油、检修等作业时，必须进行停机。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11.发电机运转部位、发热部位等容易造成伤害的部位，应有防护罩或明显警示标志。</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12.拆除及清理原有片石、杂物时作业时不应强行作业，下方不得站人，必要时下方设置警戒区。作业时尽量避免上下交叉作业，无法避免时，有专人指挥，下方作业人员应选择合理站位，佩戴防护用品。</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13.边坡上的铁锹、砌块等应放置牢固，不得堆放大型设备、物资，不得高抛低接、顺坡滚落。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14.采用人工方式疏通清理泄水槽等处杂物时，应逐槽自上而下进行作业，下方不得站人。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15. 合理安排作业计划，大风、降雨等恶劣天气严禁室外高处作业。高处作业人员应佩戴安全带、安全帽、防滑鞋等劳保用品。脚手架及升降车等高处作业平台应设置不低于1.2m的栏杆。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16.脚手架应选择质量合格的钢管、连接件，无锈蚀、破损等现象，且连接牢固，按规定制定脚手架搭设和防护方案；占用桥下或路侧道路通行空间时，设置限宽、限高标志和防护设施；脚手架、升降车等基础应平稳，承载力满足要求，周边无积水；严禁超载使用，作业人员不宜过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17.定期对边坡路段进行巡查，汛期加密监测、巡查频率，发现水毁、落石等迹象时及时上报并组织处理。视水毁坍塌情况制定修复方案、交通保畅方案，并按规定履行相关审批手续。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18.水毁修复等作业时应配置警戒与监测人员，严密监视路基、边坡状况。</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作业过程中按规定开展检查，对于违章行为应及时制止或处理。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19.蓄水池、集水池、渗井作业前对周边环境进行安全确认，做好临时防护措施，多人作业时，设专人进行监护、警示。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20.为作业人员配备工作服、手套等劳保用品，配备医疗工具箱。</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按规定将作业内容、路段等上报交警、指调分中心。</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利用可变情报板等及时发布施工信息。</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指度分中心</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作业计划安排合理：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雨雪、雾霾等恶劣天气及交通量较大时段未安排户外作业；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大风、降雨等天气无室外吊装、高处作业。</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作业人员安排合理，人员精神身体状况良好。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人员按规定穿戴劳动保护用品。</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养护作业设备设施及安全设施设置齐全。</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39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养护设备润滑油油位、冷却液液位、燃油正常。</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各管路及接头无漏油漏水现象。</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电气线路无破损、连接紧固。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发电机运转部位、发热部位等容易造成伤害的部位有防护罩或明显警示标志。</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加油、检修等作业时必须进行停机。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规范设置养护作业控制区，摆放标志、安全设施、设置交通引导人员等。</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作业未完成前不得擅自改变或移动。</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作业中开展安全检查，对违章行为及时制止和纠正。</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作业机械车辆与设备停放于稳固的位置。</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机械作业半径范围内不得站人。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机械设备周边可能造成影响的进行保护，并设专人警戒、指挥。</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拆除及清理原有片石、杂物时无强行作业，下方不得站人，必要时下方设置警戒区。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自上而下拆除，无掏挖、超挖等违章冒险作业。</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作业时尽量避免上下交叉作业。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无法避免时，有专人指挥。</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边坡作业时，铁锹、砌块放置牢固。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边坡上未堆放大型设备、物资。</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作业使用的物品工具未随意抛落、顺坡滚落。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49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人工疏通清理泄水槽时，应逐槽自上而下进行作业，下方不得站人。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脚手架及升降车等高处作业平台防护栏杆设置牢固。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脚手架钢管、连接件无锈蚀、破损等现象，且连接牢固。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按规定制定脚手架搭设和防护方案，严禁超载使用。</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基础应平稳，承载力满足要求，周边无积水。</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脚手架及升降车占用桥下或路侧道路通行空间时，设置限宽、限高或防护设施。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路面养护</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车辆伤害/交通事故/物体打击/高处坠落/火灾爆炸等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1.按规定上报指调中心施工作业，指调中心根据作业时间，利用可变情报板等及时发布施工信息。</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2.按规范设置养护作业控制区，摆放标志、安全设施、设置交通引导人员等，作业未完成前不得擅自改变或移动。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3.作业期间检查作业区及安全标志、防护设施设置情况、人员安全作业情况。</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4.定期组织养护安全和业务教育培训，提高作业人员安全意识和作业技能，特殊路段、天气等作业时加强安全技术交底和培训。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5.作业前开展岗前安全技术交底和培训，开展作业中安全检查，对违章行为及时制止和纠正。</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6.合理安排作业计划，雨雪、雾霾等恶劣天气及交通量较大时段不宜安排作业。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7.合理安排作业人员，精神、身体状况不良人员不宜安排当天作业。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8.移动作业区应按照《公路养护安全作业规程》等相关规定移动。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9.路面养护作业中，一般情况下施工车辆不可逆向行驶；确需逆向行驶时，必须有专人在现场指挥车辆，禁止随意逆向行驶；施工车辆倒车时要有专人指挥，机械设备作业时不得超出标志设置范围。</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10.吹缝时应向无行车方向吹，避免司乘人员、行驶车辆视觉受限，对飞石、施工材料等要及时清扫。</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灌缝作业前进行设备检查，确保罐体、管道无泄漏；灌缝胶软管必须悬挂在合适位置，严禁沥青喷枪对人；气瓶等设备应竖立放置，避免暴晒，严禁混用，严禁高抛低接、敲打；在向油箱加注燃油前必须关闭燃烧器和发动机；作业时周边不得堆放易燃易爆物品，现场配备灭火器；作业人员应按规定穿戴好防护服、带防护手套、护目镜等。</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12.加强现场防火管理，对发现的火灾隐患应及时纠正和制止。</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13.发电机等设备运转部位、发热部位等容易造成伤害的部位，应有防护罩或明显警示标志。</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按规定将作业内容、路段等上报交警、指调分中心。</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利用可变情报板等及时发布施工信息。</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指度分中心</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作业计划安排合理：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雨雪、雾霾等恶劣天气及交通量较大时段未安排户外作业；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大风、降雨等天气无室外吊装、高处作业。</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作业人员安排合理，人员精神身体状况良好。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人员按规定穿戴劳动保护用品。</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2"/>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灌缝机等设备油位正常，软管等无泄漏破损。</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灌缝枪口出料顺畅、安全防护设施和警示标识齐全。</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58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发电机等设备运转部位、发热部位等有防护罩或明显警示标志。</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作业前开展岗前安全技术交底和培训。</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规范设置养护作业控制区，摆放标志、安全设施、设置交通引导人员等。</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作业未完成前不得擅自改变或移动。</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作业中开展安全检查，对违章行为及时制止和纠正。</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飞石、施工材料等要及时清扫。</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吹缝时向无行车方向吹，避免司乘人员、行驶车辆视觉受限。</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作业时排查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路面养护作业中施工车辆不可逆向行驶，确需逆向行驶时，必须有专人在现场指挥车辆。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禁止随意逆向行驶，施工车辆倒车时要有专人指挥。</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灌缝设备使用过程中，灌缝胶软管必须悬挂在合适位置。</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灌缝作业人员应穿戴好防护服、带防护手套。</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作业时周边现场配备灭火器。</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现场无火灾隐患。</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桥涵养护</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车辆伤害/交通事故/起重伤害/物体打击/高处坠落/坍塌/倒塌/社会影响等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1.按规定上报指调中心施工作业，指调中心根据作业时间，利用可变情报板等及时发布施工信息。</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2.按规范设置养护作业控制区，摆放标志、安全设施、设置交通引导人员等，作业未完成前不得擅自改变或移动。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3.作业期间检查作业区及安全标志、防护设施设置情况、人员安全作业情况。</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4.定期组织养护安全和业务教育培训，提高作业人员安全意识和作业技能，特殊路段、天气等作业时加强安全技术交底和培训。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5.作业前开展岗前安全技术交底和培训，开展作业中安全检查，对违章行为及时制止和纠正。</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6.合理安排作业计划，雨雪、雾霾等恶劣天气及交通量较大时段不宜安排作业。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7.合理安排作业人员，精神、身体状况不良人员不宜安排当天作业。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8.移动作业区应按照《公路养护安全作业规程》等相关规定移动。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9.桥梁养护作业前，应首先评估施工作业活动的影响，制定防护方案，并按规定履行相关审批手续。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10.按规定划定施工区域,并设施隔离设施或装置，夜间须设置灯光警示信号。与桥下交通有相互影响时，应根据方案搭设防护棚、防撞杆等设施。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11.搭设高处作业平台或使用其他平台时，应保证基础或连接牢固，平台周边设置防坠落设施。高处作业人员应佩戴安全带、安全帽、防滑鞋等劳保用品。</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桥台、锥坡上上作业高处作业时应采取以下防护措施：拆除及清理原有片石、杂物时作业时不应强行作业，下方不得站人，必要时下方设置警戒区；作业时尽量避免上下交叉作业，无法避免时，有专人指挥；边坡上不宜存放物品，严禁随意抛落、顺坡滚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13清除杂物时不得直接抛入桥下，桥下有人车通行时设置警戒区，安排人员警戒。补浆、植筋等修复作业时采用质量可靠的砂浆、胶等产品，螺栓、钢筋等搭接时应固定牢固。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14.定期对桥梁锥坡等路段进行巡查，汛期加密监测、巡查频率，发现水毁、落石等迹象时及时上报并组织处理。视水毁坍塌情况制定修复方案、交通保畅方案，并按规定履行相关审批手续。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15.水毁修复作业时应配置警戒与监测人员，严密监视路基、边坡状况。</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16.脚手架应选择质量合格的钢管、连接件，无锈蚀、破损等现象，且连接牢固；按规定制定脚手架搭设和防护方案；占用桥下或路侧道路通行空间时，设置限宽、限高标志和防护设施；脚手架、升降车等基础应平稳，承载力满足要求，周边无积水；严禁超载使用，作业人员不宜过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17.起重作业时应选择与设备及物资重量适应的吊运设备，严禁超载；吊运前检查吊运设备周边环境安全确认，与周边建构筑物、电缆及道路边缘保持安全间距；确保基础及支腿的稳固性，钢丝绳、吊钩及其他安全设施的齐全有效性，并进行试吊；占道作业应设置警戒区，18.动火作业时应对设备进行安全检查，选用合格的瓶体及附件；气瓶应竖立放置，避免暴晒，严禁混用，严禁高抛低接、敲打。作业时乙炔瓶、氧气罐安全距离不小于5.0m，与明火作业点的距离不小于100m。切割、焊接作业时，周边应放置消防器材，设置专人防护，清除周边易燃易爆品。</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按规定将作业内容、路段等上报交警、指调分中心。</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利用可变情报板等及时发布施工信息。</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指度分中心</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作业计划安排合理：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雨雪、雾霾等恶劣天气及交通量较大时段未安排户外作业；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大风、降雨等天气无室外吊装、高处作业。</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69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作业人员安排合理，人员精神身体状况良好。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人员按规定穿戴劳动保护用品。</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研判或评估施工作业活动对结构和交通安全的影响，制定桥梁防护方案。</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按规定履行相关审批手续。</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按规定划定施工区域，设置隔离设施或装置，夜间设置灯光警示信号。</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与桥下交通有相互影响时，应根据方案搭设防护棚、防撞杆等设施。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拆除、清理原有结构设施时，不应强行作业，下方不得站人。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必要时下方设置警戒区，桥下空间应设专人监护与指挥。</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作业时尽量避免上下交叉作业，无法避免时，有专人指挥。</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下方作业人员站位合理，佩戴防护用品。</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物品工具不得随意抛落、顺坡滚落。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桥台、锥坡等开挖作业时，应制定并严格执行施工方案。</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自上而下拆除，严禁掏挖、超挖等违章作业。</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脚手架及升降车等高处作业平台防护栏杆牢固。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脚手架钢管、连接件无锈蚀、破损等现象，且连接牢固。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需要搭设脚手架时，应按规定制定脚手架搭设和防护方案，严禁超载使用。</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基础应平稳，承载力满足要求，周边无积水。</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脚手架及升降车占用桥下或路侧道路通行空间时，设置限宽、限高或防护设施。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79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高处作业人员应将手持工具、材料及设备放置稳妥，使用专用工具袋。</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吊运设备与物资重量相适应，进行试吊。</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吊运设备及周边环境安全，与周边建构筑物、电缆及道路边缘保持安全间距。</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基础及支腿稳固。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钢丝绳、吊钩及其他安全设施完好。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清除杂物时不得直接抛入桥下。</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桥下有人车通行时设置警戒区，安排人员。</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补浆、植筋等修复作业时采用质量可靠的砂浆、胶等产品。</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螺栓、钢筋等搭接时应固定牢固。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道路边缘不得堆放施工材料及物资，及时清扫道路边缘杂物。</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开展作业中安全检查，对发现的隐患及时处理。</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vAlign w:val="center"/>
          </w:tcPr>
          <w:p>
            <w:pPr>
              <w:spacing w:after="0" w:line="360" w:lineRule="exact"/>
              <w:ind w:left="0" w:firstLine="0"/>
              <w:rPr>
                <w:rFonts w:ascii="宋体" w:hAnsi="宋体" w:eastAsia="宋体" w:cs="宋体"/>
                <w:kern w:val="0"/>
                <w:sz w:val="18"/>
                <w:szCs w:val="18"/>
              </w:rPr>
            </w:pPr>
            <w:r>
              <w:rPr>
                <w:rFonts w:ascii="宋体" w:hAnsi="宋体" w:eastAsia="宋体" w:cs="宋体"/>
                <w:kern w:val="0"/>
                <w:sz w:val="18"/>
                <w:szCs w:val="18"/>
              </w:rPr>
              <w:t>隧道养护</w:t>
            </w:r>
          </w:p>
        </w:tc>
        <w:tc>
          <w:tcPr>
            <w:tcW w:w="214" w:type="pct"/>
            <w:vMerge w:val="restart"/>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车辆伤害/交通事故/倾覆/倒塌/起重伤害/社会影响/高处坠落/物体打击等</w:t>
            </w:r>
          </w:p>
        </w:tc>
        <w:tc>
          <w:tcPr>
            <w:tcW w:w="1357" w:type="pct"/>
            <w:vMerge w:val="restart"/>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w:t>
            </w:r>
            <w:r>
              <w:rPr>
                <w:rFonts w:hint="eastAsia" w:ascii="宋体" w:hAnsi="宋体" w:eastAsia="宋体" w:cs="宋体"/>
                <w:kern w:val="0"/>
                <w:sz w:val="18"/>
                <w:szCs w:val="18"/>
              </w:rPr>
              <w:t>隧道内养护作业前做好评估，并按养护作业规程设置作业控制区，摆放标志、安全设施、设置交通引导人员等，作业未完成前不得擅自改变或移动。</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2</w:t>
            </w:r>
            <w:r>
              <w:rPr>
                <w:rFonts w:ascii="宋体" w:hAnsi="宋体" w:eastAsia="宋体" w:cs="宋体"/>
                <w:kern w:val="0"/>
                <w:sz w:val="18"/>
                <w:szCs w:val="18"/>
              </w:rPr>
              <w:t>.</w:t>
            </w:r>
            <w:r>
              <w:rPr>
                <w:rFonts w:hint="eastAsia" w:ascii="宋体" w:hAnsi="宋体" w:eastAsia="宋体" w:cs="宋体"/>
                <w:kern w:val="0"/>
                <w:sz w:val="18"/>
                <w:szCs w:val="18"/>
              </w:rPr>
              <w:t>隧道养护作业时，按规定上报指调中心，指调中心利用可变情报板等及时发布施工信息。</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3</w:t>
            </w:r>
            <w:r>
              <w:rPr>
                <w:rFonts w:ascii="宋体" w:hAnsi="宋体" w:eastAsia="宋体" w:cs="宋体"/>
                <w:kern w:val="0"/>
                <w:sz w:val="18"/>
                <w:szCs w:val="18"/>
              </w:rPr>
              <w:t>.</w:t>
            </w:r>
            <w:r>
              <w:rPr>
                <w:rFonts w:hint="eastAsia" w:ascii="宋体" w:hAnsi="宋体" w:eastAsia="宋体" w:cs="宋体"/>
                <w:kern w:val="0"/>
                <w:sz w:val="18"/>
                <w:szCs w:val="18"/>
              </w:rPr>
              <w:t>养护作业时发现有危险征兆时应及时疏导交通。</w:t>
            </w:r>
          </w:p>
          <w:p>
            <w:pPr>
              <w:spacing w:after="0" w:line="360" w:lineRule="exact"/>
              <w:ind w:left="0" w:firstLine="0"/>
              <w:rPr>
                <w:rFonts w:ascii="宋体" w:hAnsi="宋体" w:eastAsia="宋体" w:cs="宋体"/>
                <w:kern w:val="0"/>
                <w:sz w:val="18"/>
                <w:szCs w:val="18"/>
              </w:rPr>
            </w:pPr>
            <w:r>
              <w:rPr>
                <w:rFonts w:ascii="宋体" w:hAnsi="宋体" w:eastAsia="宋体" w:cs="宋体"/>
                <w:kern w:val="0"/>
                <w:sz w:val="18"/>
                <w:szCs w:val="18"/>
              </w:rPr>
              <w:t>4.隧道养护作业</w:t>
            </w:r>
            <w:r>
              <w:rPr>
                <w:rFonts w:hint="eastAsia" w:ascii="宋体" w:hAnsi="宋体" w:eastAsia="宋体" w:cs="宋体"/>
                <w:kern w:val="0"/>
                <w:sz w:val="18"/>
                <w:szCs w:val="18"/>
              </w:rPr>
              <w:t>，</w:t>
            </w:r>
            <w:r>
              <w:rPr>
                <w:rFonts w:ascii="宋体" w:hAnsi="宋体" w:eastAsia="宋体" w:cs="宋体"/>
                <w:kern w:val="0"/>
                <w:sz w:val="18"/>
                <w:szCs w:val="18"/>
              </w:rPr>
              <w:t>必须合理选择时间段</w:t>
            </w:r>
            <w:r>
              <w:rPr>
                <w:rFonts w:hint="eastAsia" w:ascii="宋体" w:hAnsi="宋体" w:eastAsia="宋体" w:cs="宋体"/>
                <w:kern w:val="0"/>
                <w:sz w:val="18"/>
                <w:szCs w:val="18"/>
              </w:rPr>
              <w:t>，清扫作业时应选择车辆较少，天气较好时机。</w:t>
            </w:r>
          </w:p>
          <w:p>
            <w:pPr>
              <w:spacing w:after="0" w:line="360" w:lineRule="exact"/>
              <w:ind w:left="0" w:firstLine="0"/>
              <w:rPr>
                <w:rFonts w:ascii="宋体" w:hAnsi="宋体" w:eastAsia="宋体" w:cs="宋体"/>
                <w:kern w:val="0"/>
                <w:sz w:val="18"/>
                <w:szCs w:val="18"/>
              </w:rPr>
            </w:pPr>
            <w:r>
              <w:rPr>
                <w:rFonts w:ascii="宋体" w:hAnsi="宋体" w:eastAsia="宋体" w:cs="宋体"/>
                <w:kern w:val="0"/>
                <w:sz w:val="18"/>
                <w:szCs w:val="18"/>
              </w:rPr>
              <w:t>5.隧道内</w:t>
            </w:r>
            <w:r>
              <w:rPr>
                <w:rFonts w:hint="eastAsia" w:ascii="宋体" w:hAnsi="宋体" w:eastAsia="宋体" w:cs="宋体"/>
                <w:kern w:val="0"/>
                <w:sz w:val="18"/>
                <w:szCs w:val="18"/>
              </w:rPr>
              <w:t>清扫作业、养护作业时应有声光警示标志，洞外情报板、车行道指示灯应及时更改。</w:t>
            </w:r>
          </w:p>
          <w:p>
            <w:pPr>
              <w:spacing w:after="0" w:line="360" w:lineRule="exact"/>
              <w:ind w:left="0" w:firstLine="0"/>
              <w:rPr>
                <w:rFonts w:ascii="宋体" w:hAnsi="宋体" w:eastAsia="宋体" w:cs="宋体"/>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施工作业期间，应按照预定程序开启隧道照明。</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7</w:t>
            </w:r>
            <w:r>
              <w:rPr>
                <w:rFonts w:ascii="宋体" w:hAnsi="宋体" w:eastAsia="宋体" w:cs="宋体"/>
                <w:kern w:val="0"/>
                <w:sz w:val="18"/>
                <w:szCs w:val="18"/>
              </w:rPr>
              <w:t>.</w:t>
            </w:r>
            <w:r>
              <w:rPr>
                <w:rFonts w:hint="eastAsia" w:ascii="宋体" w:hAnsi="宋体" w:eastAsia="宋体" w:cs="宋体"/>
                <w:kern w:val="0"/>
                <w:sz w:val="18"/>
                <w:szCs w:val="18"/>
              </w:rPr>
              <w:t>定期组织养护安全和业务教育培训，提高作业人员安全意识和作业技能。</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8</w:t>
            </w:r>
            <w:r>
              <w:rPr>
                <w:rFonts w:ascii="宋体" w:hAnsi="宋体" w:eastAsia="宋体" w:cs="宋体"/>
                <w:kern w:val="0"/>
                <w:sz w:val="18"/>
                <w:szCs w:val="18"/>
              </w:rPr>
              <w:t>.</w:t>
            </w:r>
            <w:r>
              <w:rPr>
                <w:rFonts w:hint="eastAsia" w:ascii="宋体" w:hAnsi="宋体" w:eastAsia="宋体" w:cs="宋体"/>
                <w:kern w:val="0"/>
                <w:sz w:val="18"/>
                <w:szCs w:val="18"/>
              </w:rPr>
              <w:t>作业前开展岗前安全技术交底和培训。</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9</w:t>
            </w:r>
            <w:r>
              <w:rPr>
                <w:rFonts w:ascii="宋体" w:hAnsi="宋体" w:eastAsia="宋体" w:cs="宋体"/>
                <w:kern w:val="0"/>
                <w:sz w:val="18"/>
                <w:szCs w:val="18"/>
              </w:rPr>
              <w:t>.</w:t>
            </w:r>
            <w:r>
              <w:rPr>
                <w:rFonts w:hint="eastAsia" w:ascii="宋体" w:hAnsi="宋体" w:eastAsia="宋体" w:cs="宋体"/>
                <w:kern w:val="0"/>
                <w:sz w:val="18"/>
                <w:szCs w:val="18"/>
              </w:rPr>
              <w:t>开展作业中安全检查，对违章行为及时制止和纠正。</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0.洞口</w:t>
            </w:r>
            <w:r>
              <w:rPr>
                <w:rFonts w:hint="eastAsia" w:ascii="宋体" w:hAnsi="宋体" w:eastAsia="宋体" w:cs="宋体"/>
                <w:kern w:val="0"/>
                <w:sz w:val="18"/>
                <w:szCs w:val="18"/>
              </w:rPr>
              <w:t>作业前对洞口危石等进行先期处理。加固作业时，应首先对隧道洞口设施进行评估。作业时，设置专人进行监护。</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1.</w:t>
            </w:r>
            <w:r>
              <w:rPr>
                <w:rFonts w:hint="eastAsia" w:ascii="宋体" w:hAnsi="宋体" w:eastAsia="宋体" w:cs="宋体"/>
                <w:kern w:val="0"/>
                <w:sz w:val="18"/>
                <w:szCs w:val="18"/>
              </w:rPr>
              <w:t>隧道壁修复时按照施工方案进行作业，对有可能存在脱落的设施尽早进行处理。</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2.</w:t>
            </w:r>
            <w:r>
              <w:rPr>
                <w:rFonts w:hint="eastAsia" w:ascii="宋体" w:hAnsi="宋体" w:eastAsia="宋体" w:cs="宋体"/>
                <w:kern w:val="0"/>
                <w:sz w:val="18"/>
                <w:szCs w:val="18"/>
              </w:rPr>
              <w:t>拱顶作业按规定设置脚手架，并做好作业区域的警示防护，高处作业时应有防护措施。</w:t>
            </w:r>
          </w:p>
          <w:p>
            <w:pPr>
              <w:spacing w:after="0" w:line="360" w:lineRule="exact"/>
              <w:ind w:left="0" w:firstLine="0"/>
              <w:rPr>
                <w:rFonts w:ascii="宋体" w:hAnsi="宋体" w:eastAsia="宋体" w:cs="宋体"/>
                <w:kern w:val="0"/>
                <w:sz w:val="18"/>
                <w:szCs w:val="18"/>
              </w:rPr>
            </w:pPr>
            <w:r>
              <w:rPr>
                <w:rFonts w:ascii="宋体" w:hAnsi="宋体" w:eastAsia="宋体" w:cs="宋体"/>
                <w:kern w:val="0"/>
                <w:sz w:val="18"/>
                <w:szCs w:val="18"/>
              </w:rPr>
              <w:t>13.</w:t>
            </w:r>
            <w:r>
              <w:rPr>
                <w:rFonts w:hint="eastAsia" w:ascii="宋体" w:hAnsi="宋体" w:eastAsia="宋体" w:cs="宋体"/>
                <w:kern w:val="0"/>
                <w:sz w:val="18"/>
                <w:szCs w:val="18"/>
              </w:rPr>
              <w:t>登高车移动时应有专人防护，并保持移动过程中与周边设施的安全距离。</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4.</w:t>
            </w:r>
            <w:r>
              <w:rPr>
                <w:rFonts w:hint="eastAsia" w:ascii="宋体" w:hAnsi="宋体" w:eastAsia="宋体" w:cs="宋体"/>
                <w:kern w:val="0"/>
                <w:sz w:val="18"/>
                <w:szCs w:val="18"/>
              </w:rPr>
              <w:t>设备带电部位应有警示标志，对破损的线缆及时进行更换。</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5.电气</w:t>
            </w:r>
            <w:r>
              <w:rPr>
                <w:rFonts w:hint="eastAsia" w:ascii="宋体" w:hAnsi="宋体" w:eastAsia="宋体" w:cs="宋体"/>
                <w:kern w:val="0"/>
                <w:sz w:val="18"/>
                <w:szCs w:val="18"/>
              </w:rPr>
              <w:t>作业应由专业电工操作，使用合格工具，做好个人防护，按规程操作。</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6.</w:t>
            </w:r>
            <w:r>
              <w:rPr>
                <w:rFonts w:hint="eastAsia" w:ascii="宋体" w:hAnsi="宋体" w:eastAsia="宋体" w:cs="宋体"/>
                <w:kern w:val="0"/>
                <w:sz w:val="18"/>
                <w:szCs w:val="18"/>
              </w:rPr>
              <w:t>根据隧道内部环境监测情况，及时开启通风。</w:t>
            </w:r>
          </w:p>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7.</w:t>
            </w:r>
            <w:r>
              <w:rPr>
                <w:rFonts w:hint="eastAsia" w:ascii="宋体" w:hAnsi="宋体" w:eastAsia="宋体" w:cs="宋体"/>
                <w:kern w:val="0"/>
                <w:sz w:val="18"/>
                <w:szCs w:val="18"/>
              </w:rPr>
              <w:t>隧道内动火作业时应履行审批手续，制度防火方案和应急措施，周边设置消防设施。</w:t>
            </w:r>
          </w:p>
        </w:tc>
        <w:tc>
          <w:tcPr>
            <w:tcW w:w="212" w:type="pct"/>
            <w:vMerge w:val="restart"/>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按规定将作业内容、路段等上报交警、指调分中心。</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利用可变情报板等及时发布施工信息。</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指度分中心</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作业计划安排合理：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雨雪、雾霾等恶劣天气及交通量较大时段未安排户外作业；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大风、降雨等天气无室外吊装、高处作业。</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作业人员安排合理，人员精神身体状况良好。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人员按规定穿戴劳动保护用品。</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89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养护作业前需做好以下工作：</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通风系统正常，并开启通风系统，保持隧道内空气流通；</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隧道内火灾灭火装置、火灾报警系统正常；</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隧道内结构物的状况不影响作业安全，尤其是带电设备设施的安</w:t>
            </w:r>
            <w:r>
              <w:rPr>
                <w:rFonts w:hint="eastAsia" w:ascii="宋体" w:hAnsi="宋体" w:eastAsia="宋体" w:cs="宋体"/>
                <w:kern w:val="0"/>
                <w:sz w:val="18"/>
                <w:szCs w:val="18"/>
              </w:rPr>
              <w:t>全性；</w:t>
            </w:r>
          </w:p>
          <w:p>
            <w:pPr>
              <w:pStyle w:val="56"/>
              <w:numPr>
                <w:ilvl w:val="0"/>
                <w:numId w:val="1"/>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隧道内信号、可变信息板等显示准确等。</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隧道日常养护作业现场应设置明显的安全标志和采取有效的安全防护措施并配备交通指挥人员。</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严格按照作业技术规程使用各类作业机械、设备。</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隧道内进行涂装作业，应佩戴口罩、手套等劳动防护用品。</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采用湿法清洁时，应防止路面积水，并应注意保护隧道内机电设施的安全。</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机械清扫的时间应根据车流量及天气情况而定，避免车流高峰及雨雾天气作业。</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进行高处作业时，应按照要求搭设脚手架或使用高处作业机械，作业机械应配备反光标志，施工台架或脚手架应布设防眩灯等反光标志。</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作业人员应系好安全带，佩戴安全帽，统一作反光标志服，并配备专人管理。</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在清除和修复洞口上方的松散土体、垃圾、危石等，或修复存在轻微破损的引坡挡墙、洞门墙、洞口上方排水设施等结构物的开裂、变形时，作业人员应系好安全带，并佩戴劳动防护用品。</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刷油漆时不得穿易产生静电的工作服，身体外露部位不得直接与油漆接触。沾有涂料或稀释剂的破布、纱团、手套和工作服等，应及时清理，不能随意堆放。</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隧道内不准长时间存放易燃易爆物品，如需动火作业，按动火作业安全管理要求进行操作。</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养护作业完成后，应及时清理作业现场，恢复隧道的正常使用状态。</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99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交安设施养护</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车辆伤害/交通事故/倾覆/倒塌/起重伤害/社会影响/高处坠落/物体打击等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1.按规定上报指调中心施工作业，指调中心根据作业时间，利用可变情报板等及时发布施工信息。</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2.按规范设置养护作业控制区，摆放标志、安全设施、设置交通引导人员等，作业未完成前不得擅自改变或移动。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3.作业期间检查作业区及安全标志、防护设施设置情况、人员安全作业情况。</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4.定期组织养护安全和业务教育培训，提高作业人员安全意识和作业技能，特殊路段、天气等作业时加强安全技术交底和培训。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5.作业前开展岗前安全技术交底和培训，开展作业中安全检查，对违章行为及时制止和纠正。</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6.合理安排作业计划，雨雪、雾霾等恶劣天气及交通量较大时段不宜安排作业。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7.合理安排作业人员，精神、身体状况不良人员不宜安排当天作业。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8.移动作业区应按照《公路养护安全作业规程》等相关规定移动。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9.护栏板修复时，作业人员要根据旧桩损坏情况选择适宜部位固定，打桩车操作人员要定位准确、均匀加力。加强周边警戒，无关人员远离作业区域；打桩车移动作业时应观察周边环境，控制行驶速度。</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10.交通标志、防眩板、防落网等螺栓应安装齐全、拧紧，无法及时安装的应有临时固定措施，作业后应对安装情况进行验收确认。</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11.冲洗作业时按选择合理作业时间，作业时控制冲水方向和压力。</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12.需要占用桥下或路侧道路通行空间时，设置限宽、限高标志和防护设施。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13.需要使用升降车、吊车时，基础应平稳，承载力满足要求，周边无积水；严禁超载使用，作业人员不宜过多。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14.起重作业时应选择与设备及物资重量适应的吊运设备，严禁超载；吊运前检查吊运设备周边环境安全确认，与周边建构筑物、电缆及道路边缘保持安全间距；确保基础及支腿的稳固性，钢丝绳、吊钩及其他安全设施的齐全有效性，并进行试吊；占道作业应设置警戒区，15.动火作业时应对设备进行安全检查，选用合格的瓶体及附件；气瓶应竖立放置，避免暴晒，严禁混用，严禁高抛低接、敲打。作业时乙炔瓶、氧气罐安全距离不小于5.0m，与明火作业点的距离不小于100m。切割、焊接作业时，周边应放置消防器材，设置专人防护，清除周边易燃易爆品。</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16. 需要高处作业时，应保证作业平台基础或连接牢固，平台周边设置防坠落设施。高处作业人员应佩戴安全带、安全帽、防滑鞋等劳保用品。</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按规定将作业内容、路段等上报交警、指调分中心。</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利用可变情报板等及时发布施工信息。</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指度分中心</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作业计划安排合理：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雨雪、雾霾等恶劣天气及交通量较大时段未安排户外作业；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大风、降雨等天气无室外吊装、高处作业。</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作业人员安排合理，人员精神身体状况良好。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人员按规定穿戴劳动保护用品。</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护栏施工时要根据旧桩损坏情况选择适宜部位固定。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打桩车操作人员定位准确、均匀加力。</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加强周边警戒，无关人员远离作业区域。</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打桩车移动时观察周边环境，控制行驶速度。</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需要占用桥下或路侧道路通行空间时，设置限宽、限高标志和防护设施。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升降车、吊车等基础平稳，承载力满足要求，周边无积水。</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严禁超载使用，作业人员不宜过多。</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吊运设备与物资重量相适应，进行试吊。</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吊运设备及周边环境安全，与周边建构筑物、电缆及道路边缘保持安全间距。</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基础及支腿稳固。</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钢丝绳、吊钩及其他安全设施完好。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交通标志拆卸、安装时均匀用力，不得生拉硬拽。起重回转作业时控制速度，注意观察周边环境。</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起重臂不得直接搭接在立柱、悬臂上。</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109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装卸、运输使用专用工具。</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严禁高抛低接等违章冒险行为。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高处作业人员将手持工具、材料及设备放置稳妥，使用专用工具袋。</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临时物资、设备放置妥当，与路肩边缘保持安全距离。</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交通标志、防眩板、防落网等螺栓安装齐全、拧紧。</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无法及时安装的有临时固定措施。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作业后对安装情况进行验收确认。</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立柱基础按设计开挖、安装，固定螺栓拧紧。</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边坡上下抬卸设施时有足够的人力，不得随意抛落、顺坡滚落。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划线作业人员应穿戴合规，带防护手套，按规定路线和方向施划。</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冲洗时间安排合理。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冲水方向和压力控制得当。</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绿化作业</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车辆伤害/交通事故/物体打击/机械伤害/高处坠落/物体打击等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1.按规定上报指调中心施工作业，指调中心根据作业时间，利用可变情报板等及时发布施工信息。</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2.按规范设置养护作业控制区，摆放标志、安全设施、设置交通引导人员等，作业未完成前不得擅自改变或移动。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3.作业期间检查作业区及安全标志、防护设施设置情况、人员安全作业情况。</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4.定期组织养护安全和业务教育培训，提高作业人员安全意识和作业技能，特殊路段、天气等作业时加强安全技术交底和培训。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5.作业前开展岗前安全技术交底和培训，开展作业中安全检查，对违章行为及时制止和纠正。</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6.合理安排作业计划，雨雪、雾霾等恶劣天气及交通量较大时段不宜安排作业。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7.合理安排作业人员，精神、身体状况不良人员不宜安排当天作业。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8.树木基础应按规定开挖、栽植、回填，并有临时固定措施，作业后应对树木栽植情况进行验收确认。</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9.临时物资、机械设备、绿植不得侵入行车限界，否则应按规定摆放警戒区。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10.大型树木应切割分段运输，不得侵入行车限界，运输时控制行驶速度。</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11.作业人员应穿戴整齐，与刀片及设备旋转部位保持安全距离。</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12.抬卸时应有足够的人力，不得随意抛落、顺坡滚落。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正规渠道采购质量合格的农药，为作业人员配备齐全防护用品；开展作业人员安全教育培训，熟悉了解农药的性能和特点；作业前检查药筒、管道有无泄漏；作业人员应穿戴长袖、佩戴口罩、手套等，处于上风向。</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14.为作业人员配备工作服、手套等劳保用品，配备医疗工具箱。</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15.特殊路段、天气等作业时，开展作业人员安全教育培训，提高人员防范意识。</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按规定将作业内容、路段等上报交警、指调分中心。</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利用可变情报板等及时发布施工信息。</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指度分中心</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作业计划安排合理：</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雨雪、雾霾等恶劣天气及交通量较大时段未安排户外作业；</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大风、降雨等天气无室外吊装、高处作业。</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119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作业人员安排合理，人员精神身体状况良好。</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人员按规定穿戴劳动保护用品。</w:t>
            </w: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42"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树木基础按规定开挖、栽植、回填。</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有临时固定措施。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作业中作业人员应穿戴整齐，与刀具及设备旋转部位保持安全距离。</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无关人员远离被修剪的树木。</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大型树木应切割分段运输，未侵入行车限界。</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运输时控制行驶速度。</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临时物资、机械设备、绿植等未侵入行车限界。</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在道路上时按规定设置作业控制区。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正规渠道采购质量合格的农药。</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作业前检查药筒、管道无泄漏。</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喷洒农药人员穿戴齐全，包括长袖衣、口罩、手套等。</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边坡上抬卸作业时应有足够的人力。</w:t>
            </w:r>
          </w:p>
          <w:p>
            <w:pPr>
              <w:pStyle w:val="56"/>
              <w:numPr>
                <w:ilvl w:val="0"/>
                <w:numId w:val="1"/>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不得随意抛落、顺坡滚落。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开展作业中安全检查，对违章行为及时制止和纠正。</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127</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巡查作业</w:t>
            </w: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巡查作业</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车辆伤害/交通事故/高处坠落等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1.按规定对巡查车辆进行维修保养。</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2.作业前对巡查车辆进行检查。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3.合理安排作业计划和时间，选择作业人员，配备反光服。</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4.对作业人员开展安全教育培训，提高作业人员安全意识。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5.巡查车辆应控制车速在40~50km/h</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6.巡查时穿戴反光服、长袖服装等规定工具，按规定路线逆车流方向巡查。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7.无特殊情况严禁横穿行、超车道，选择合适实际穿越车道。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8.禁止在路面、桥面、护栏上蹲坐、休息。</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9.徒步巡查时，合理安排作业计划和时间，恶劣天气不宜安排，作业人员应穿戴齐全，包括反光服、防滑鞋等；攀爬时应保持安全间距，注意观察周边环境。</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作业班长、工区主任</w:t>
            </w: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按规定对巡查车辆进行维修保养。</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巡查车辆安全标志、车辆技术状况良好。</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巡查人员穿戴齐全，精神身体状态良好。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129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巡查作业计划、时间、人员安排合理。</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定期对作业人员开展安全教育培训。</w:t>
            </w:r>
          </w:p>
          <w:p>
            <w:pPr>
              <w:pStyle w:val="56"/>
              <w:numPr>
                <w:ilvl w:val="0"/>
                <w:numId w:val="3"/>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巡查</w:t>
            </w:r>
            <w:r>
              <w:rPr>
                <w:rFonts w:hint="eastAsia" w:ascii="宋体" w:hAnsi="宋体" w:eastAsia="宋体" w:cs="宋体"/>
                <w:kern w:val="0"/>
                <w:sz w:val="18"/>
                <w:szCs w:val="18"/>
              </w:rPr>
              <w:t>人员安全意识较强。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巡查车辆应控制车速在</w:t>
            </w:r>
            <w:r>
              <w:rPr>
                <w:rFonts w:ascii="宋体" w:hAnsi="宋体" w:eastAsia="宋体" w:cs="宋体"/>
                <w:kern w:val="0"/>
                <w:sz w:val="18"/>
                <w:szCs w:val="18"/>
              </w:rPr>
              <w:t>6</w:t>
            </w:r>
            <w:r>
              <w:rPr>
                <w:rFonts w:hint="eastAsia" w:ascii="宋体" w:hAnsi="宋体" w:eastAsia="宋体" w:cs="宋体"/>
                <w:kern w:val="0"/>
                <w:sz w:val="18"/>
                <w:szCs w:val="18"/>
              </w:rPr>
              <w:t>0~</w:t>
            </w:r>
            <w:r>
              <w:rPr>
                <w:rFonts w:ascii="宋体" w:hAnsi="宋体" w:eastAsia="宋体" w:cs="宋体"/>
                <w:kern w:val="0"/>
                <w:sz w:val="18"/>
                <w:szCs w:val="18"/>
              </w:rPr>
              <w:t>80</w:t>
            </w:r>
            <w:r>
              <w:rPr>
                <w:rFonts w:hint="eastAsia" w:ascii="宋体" w:hAnsi="宋体" w:eastAsia="宋体" w:cs="宋体"/>
                <w:kern w:val="0"/>
                <w:sz w:val="18"/>
                <w:szCs w:val="18"/>
              </w:rPr>
              <w:t>km/h</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巡查时穿戴安全帽、反光服穿戴齐全。</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人员徒步时应逆车流方向。</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无特殊情况严禁横穿行、超车道。</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禁止在路面、桥面、护栏上蹲坐、休息。</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高处攀爬上下时应保持安全间距，注意观察周边环境。</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135</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清扫作业</w:t>
            </w: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清扫作业</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车辆伤害/交通事故/车辆伤害/物体打击/高处坠落等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1.按规定对清扫车辆进行维修保养。</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2.作业前对清扫车辆进行检查。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3.合理安排作业计划和时间，选择作业人员，配备反光服。</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4.对作业人员开展安全教育培训，提高作业人员安全意识。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5.清扫车辆应按规定速度行驶，变道时注意观察来往车辆。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6.按规定开展机械清扫路面遗撒物，保持路面整洁，人工清扫时，应按规定设置移动作业区。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7.清扫完毕后的垃圾应装袋运走，并对现场进行确认。</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8.清扫作业现场复杂时，应设置作业区，统一指挥作业。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9.无法立即清扫的，按规定设置作业控制区，上报指调中心。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10.作业时应注意观察周边环境，不得违章冒险作业。</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作业班长、工区主任</w:t>
            </w: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按规定对清扫车辆进行维修保养。</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清扫车辆安全标志、车辆技术状况良好。</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清扫人员穿戴齐全，精神身体状态良好。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清扫作业计划、时间、人员安排合理。</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清扫车辆按规定速度行驶。</w:t>
            </w:r>
          </w:p>
          <w:p>
            <w:pPr>
              <w:pStyle w:val="56"/>
              <w:numPr>
                <w:ilvl w:val="0"/>
                <w:numId w:val="3"/>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清扫车辆按规定开启警示标志</w:t>
            </w:r>
            <w:r>
              <w:rPr>
                <w:rFonts w:hint="eastAsia" w:ascii="宋体" w:hAnsi="宋体" w:eastAsia="宋体" w:cs="宋体"/>
                <w:kern w:val="0"/>
                <w:sz w:val="18"/>
                <w:szCs w:val="18"/>
              </w:rPr>
              <w:t>、</w:t>
            </w:r>
            <w:r>
              <w:rPr>
                <w:rFonts w:ascii="宋体" w:hAnsi="宋体" w:eastAsia="宋体" w:cs="宋体"/>
                <w:kern w:val="0"/>
                <w:sz w:val="18"/>
                <w:szCs w:val="18"/>
              </w:rPr>
              <w:t>语音提示</w:t>
            </w:r>
            <w:r>
              <w:rPr>
                <w:rFonts w:hint="eastAsia" w:ascii="宋体" w:hAnsi="宋体" w:eastAsia="宋体" w:cs="宋体"/>
                <w:kern w:val="0"/>
                <w:sz w:val="18"/>
                <w:szCs w:val="18"/>
              </w:rPr>
              <w:t>。</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变道时注意观察来往车辆。</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139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人工清扫时，应按规定设置移动作业区。</w:t>
            </w:r>
          </w:p>
          <w:p>
            <w:pPr>
              <w:pStyle w:val="56"/>
              <w:numPr>
                <w:ilvl w:val="0"/>
                <w:numId w:val="3"/>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人员下车或人工清捡时设置专人警戒</w:t>
            </w:r>
            <w:r>
              <w:rPr>
                <w:rFonts w:hint="eastAsia" w:ascii="宋体" w:hAnsi="宋体" w:eastAsia="宋体" w:cs="宋体"/>
                <w:kern w:val="0"/>
                <w:sz w:val="18"/>
                <w:szCs w:val="18"/>
              </w:rPr>
              <w:t>。</w:t>
            </w:r>
          </w:p>
          <w:p>
            <w:pPr>
              <w:pStyle w:val="56"/>
              <w:numPr>
                <w:ilvl w:val="0"/>
                <w:numId w:val="3"/>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穿越车道清捡时选择合适时机</w:t>
            </w:r>
            <w:r>
              <w:rPr>
                <w:rFonts w:hint="eastAsia" w:ascii="宋体" w:hAnsi="宋体" w:eastAsia="宋体" w:cs="宋体"/>
                <w:kern w:val="0"/>
                <w:sz w:val="18"/>
                <w:szCs w:val="18"/>
              </w:rPr>
              <w:t>，</w:t>
            </w:r>
            <w:r>
              <w:rPr>
                <w:rFonts w:ascii="宋体" w:hAnsi="宋体" w:eastAsia="宋体" w:cs="宋体"/>
                <w:kern w:val="0"/>
                <w:sz w:val="18"/>
                <w:szCs w:val="18"/>
              </w:rPr>
              <w:t>有人警戒</w:t>
            </w: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清扫完毕后的垃圾应装袋运走，禁止高处抛洒，路面或边坡上堆置。</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清扫完成后对现场进行确认。</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无法立即清扫的，及时设置警戒区，上报指调分中心。</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142</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专项工程</w:t>
            </w: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交通组织/安全监督</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社会影响/交通事故/其他安全生产事故</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1.专项工程施工前按规定制定交通组织保畅方案，合理安排施工计划，减少对道路交通的影响。</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2.按规定办理相应路政和交警行政许可，对需要封闭交通或长时间占用行车道施工的专项工程，除紧急情况外，应按规定将施工信息上报备案。</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3.需要改变交通流向的专项工程，其施工方案和交通组织方案应征得路政部门和交警部门同意，并按同意后的方案设立交通安全设施。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4.施工单位要与路政和交警部门密切配合，听从指挥，做好本合同段的保通工作。</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5.在养护专项工程施工现场应做好现场上游缓冲区设置现场公示牌，向社会公示施工项目内容等相关信息。</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6.施工单位要在施工现场配备交通安全员，指挥和疏导车辆有序通行。当交通量增加发生交通堵塞时，施工单位要暂停施工，确保车辆正常通行。</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7.应选择资质适应的施工单位、监理单位，在招标文件及施工合同中明确安全生产条件，并签订安全生产协议。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8.按规定组织召开技术交底会，开工前对施工单位的准备工作、相关手续履行情况等进行检查。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9.施工单位应建立满足养护与施工需要的施工管理机构，配备相应的作业人员，制定切实可行的施工交通组织方案和详细的施工安全保障措施，批准后组织实施。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10.按规定对施工单位编制的施工组织设计和专项施工方案中进行审查，重点审查交通干扰、保通措施、应急预案等涉及道路结构和交通安全的保障措施。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11.制定专项工程安全生产管理实施办法，组织监理单位和施工单位有关安全负责人和安全员进行安全培训。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12.专项工程实行项目工程师制度，加强施工过程中的安全检查工作，确保工程安全能得到有效的控制。</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13.专项工程完工后，应按照相关规定进行验收并进行技术状况评定</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14.合理布设施工作业区，设置标志和安全防护设施，保证施工车辆、人员和过往车辆的安全，必要时还应协助有关部门做好交通疏导工作。</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15.施工作业时应该按照施工作业面大小设置不同数量（至少一人）安全员负责施工现场的安全管理，安全员应当佩戴醒目的红袖标使其易于和其他施工人员区分。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16.对长期养护作业，现场要安排设施看护员。对夜间不能开放交通的封闭区，安全设施要满足夜间安全设施布置的要求。</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17.对规模性大的专项施工，有大型设备、大量材料占用行车道断面而夜间不能撤离的，要配备专用警示灯示警。</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18.养护作业时，严禁施工单位擅自打开中央活动开口，确因施工需要，必须经路政部门批准，打开的开口栅要设专人指挥交通并当天封闭。短时间使用开口栅时，要即开即封。</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19.封闭区内作业的长、大设备如铣刨机、吊车等，实施作业时，要安排专人调度，保证吊杆、传送带等悬出部分不能进入中央分隔带，更不能超出中央分隔带进入另一侧路面，以免作业失误造成人员、车辆伤害。</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20.遇雨、雾等视线不良时，应停止施工、作业（紧急作业除外）。</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21.桥梁养护作业时应加强车辆限速、限宽和限载的通行控制，经批准允许通行的危险品运输车辆应引导通过。</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22.当预判桥梁养护作业会出现车辆排队时，应利用收费站、正常路段或警告区布置大型载重汽车停靠区，并布设“重车靠右停靠区”标志，间隔放行大型载重汽车，不得集中放行。</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23.养护专项工程施工现场应在上游过渡区设置自动摇旗标志车和警察模型，但不得设置旗手。</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24.按规定开展安全生产及文明施工检查，对发现的问题要及时处置。</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工程管理部经理、工程师；养护工区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作业班长、工区主任</w:t>
            </w: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专项工程施工前按规定制定交通组织保畅方案，并履行审批手续。</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合理安排施工计划，减少对道路交通的影响。</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xml:space="preserve">主任 </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选择资质适应的施工单位、监理单位。</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满足招标文件及施工合同中的安全生产条件。</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签订安全生产协议。</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按规定组织召开技术交底会。</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开工前对施工单位的准备工作、相关手续履行情况等进行检查。</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根据专项工程的安全要求，组织监理单位和施工单位有关安全负责人和安全员进行安全培训。</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施工单位应建立满足养护与施工需要的施工管理机构，配备相应的作业人员。</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定切实可行的施工交通组织方案和详细的施工安全保障措施，批准后组织实施。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按规定办理相应路政和交警行政许可，按同意后的方案设立交通安全设施。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按规定布设施工作业区，设置标志和安全防护设施，保证施工车辆、人员和过往车辆的安全。</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149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施工作业时应该按照施工作业面大小设置不同数量安全员负责施工现场的安全管理和交通疏导等工作。</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长期养护作业，现场要安排设施看护员，对夜间不能开放交通的封闭区，安全设施要满足夜间安全设施布置的要求。</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严禁施工单位擅自打开中央活动开口。</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确因施工需要，必须经批准，打开的开口栅要设专人指挥交通并当天封闭。</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短时间使用开口栅时，要即开即封。</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封闭区内作业的长、大设备如铣刨机、吊车等实施作业时，要安排专人调度，保证吊杆、传送带等悬出部分不能进入中央分隔带，更不能超出中央分隔带进入另一侧路面，以免作业失误造成人员、车辆伤害。</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桥梁养护作业时应加强车辆限速、限宽和限载的通行控制。当预判桥梁养护作业会出现车辆排队时，应利用收费站、正常路段或警告区布置大型载重汽车停靠区，并布设“重车靠右停靠区”标志，间隔放行大型载重汽车，不得集中放行。</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spacing w:after="0" w:line="360" w:lineRule="exact"/>
              <w:ind w:left="208" w:firstLine="0"/>
              <w:rPr>
                <w:rFonts w:ascii="宋体" w:hAnsi="宋体" w:eastAsia="宋体" w:cs="宋体"/>
                <w:kern w:val="0"/>
                <w:sz w:val="18"/>
                <w:szCs w:val="18"/>
              </w:rPr>
            </w:pPr>
            <w:r>
              <w:rPr>
                <w:rFonts w:hint="eastAsia" w:ascii="宋体" w:hAnsi="宋体" w:eastAsia="宋体" w:cs="宋体"/>
                <w:kern w:val="0"/>
                <w:sz w:val="18"/>
                <w:szCs w:val="18"/>
              </w:rPr>
              <w:t>立交桥上养护作业控制区布置时应符合：</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1.养护作业影响桥下净空时，应在立交桥下方路上布置施工标志、限高及限宽标志，并不得向桥下抛掷任何物品。</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2.养护作业占用下方公路路面时，立交桥下方公路应布置养护作业控制区。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养护专项工程施工现场应在上游过渡区设置自动摇旗标志车和警察模型，但不得设置旗手。</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施工作业路段、施工便道应派专人清扫并且适时进行洒水作业，防止扬尘，开挖后的废渣土应及时清运。</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施工单位</w:t>
            </w:r>
          </w:p>
        </w:tc>
        <w:tc>
          <w:tcPr>
            <w:tcW w:w="286" w:type="pct"/>
            <w:shd w:val="clear" w:color="auto" w:fill="auto"/>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157</w:t>
            </w:r>
          </w:p>
        </w:tc>
        <w:tc>
          <w:tcPr>
            <w:tcW w:w="1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应急作业</w:t>
            </w: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除雪作业</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物体打击/高处坠落/车辆伤害/交通事故</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1.按规定对除雪设备设施进行维修保养，确保设备技术状况良好、急停设施有效，作业前检查车辆制动及防滑设施。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2.吊装中严禁物料下方站人，设专人负责现场装载指挥、专人负责装卸开关。</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3.每年开展安全教育培训，为作业人员配备防滑鞋、手套等防护用品，选择适宜的作业人员。</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 每年做好除雪物资准备，按规定值班，开展除雪演练。</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5.根据雪情及交警指令，及时发布预警信息、实施交通阻断等。</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6.除雪车辆应控制车速，停车时作业人员方能上下车。</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7.选择经验丰富的驾驶员执行车辆驾驶任务，作业前进行安全技术交底。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8.除雪前应调整好洒布量、自动避让设施等，禁止在除雪过程中随意停车。因设备故障或确需调整时，应驶入应急车道。</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9.作业时合理控制车速，现场统一指挥，按规定路线行驶；陡坡及弯道作业时控制车速；陡坡及弯道需要停车时应有临时制动措施；前后车辆应保持适当距离，注意避让社会车辆。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10.采用人工除雪时，应设置养护作业区，摆放安全标志，配置安全员。</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11.车辆及人员临边时应与边缘保持一定间距。</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12.为作业人员配备防寒服、鞋和手套等。</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作业班长、工区主任</w:t>
            </w: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按规定对除雪设备设施进行维修保养，确保设备技术状况良好、安全设施有效。</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融雪剂及除雪设备设施装卸时，严禁物料下方站人。</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专人负责现场装载指挥、专人负责装卸开关。</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159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按规定开展除雪安全教育培训和演练。</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为作业人员配备防滑鞋、手套等防护用品。</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除雪作业前选择适宜的作业人员和设备。</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作业前进行设备设施检查和安全技术交底。</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根据雪情及交警指令，及时上报或发布预警信息。</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除雪前应调整好洒布量、自动避让设施等，禁止在除雪过程中随意停车。</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因设备故障或确需调整时，应驶入应急车道。</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除雪车辆应控制车速，现场统一指挥。</w:t>
            </w:r>
          </w:p>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按规定路线行驶，停车时作业人员上下车。</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陡坡及弯道不宜停车，需要停车时应有临时制动措施。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车道除雪时不宜采用人工除雪，特殊情况需要时应设置养护作业区，摆放安全标志，配置安全员。</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个人穿戴好防滑鞋、防寒服、防护手套，临边作业时注意防护。</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3"/>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在上跨桥等危险区域作业时，应注意周边环境，及时清除上跨桥上危险物。</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防汛作业</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交通事故/车辆伤害/物体打击/触电/财产损失/社会影响/等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1.按规定对防汛设备设施进行维修保养，确保设备技术状况良好、物资齐全。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2.加强汛期道路巡查与监测，发现水毁、滑坡隐患及时上报处置。</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3.选择合理行驶路线和经验丰富的驾驶员执行车辆驾驶任务，作业前进行安全技术交底。</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4.作业机械车辆应停放于稳固的位置，机械作业半径范围内不得站人；确认机械设备周边环境，对可能造成影响的应进行标注，或设置防护措施，并设专人警戒、指挥。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5.对作业人员开展安全教育培训，提高作业人员安全意识。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6.开展作业过程的安全检查，对发现的问题及时纠正、制止。</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7.作业前对电气设备的线缆、接头等进行检查，做好防水防护。</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8.现场设备应置于高处、相对干燥区域，插座、线缆等做好防水防护,线缆应顺直，不得碾压、水泡、硬拉等。</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拆除及清理原有片石、杂物时作业时不应强行作业，下方不得站人，必要时下方设置警戒区。作业时尽量避免上下交叉作业，无法避免时，有专人指挥，下方作业人员应选择合理站位，佩戴防护用品。边坡上的铁锹、砌块等应放置牢固，不得堆放大型设备、物资，不得高抛低接、顺坡滚落。</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10.采用人工方式疏通清理泄水槽等处杂物时，应逐槽自上而下进行作业，下方不得站人。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11.井下作业前对井下及周边环境进行安全确认，设置专人监护，并做好临时防护措施。为作业人员提供合格的胶鞋、雨具等。</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工程管理部经理、工程师；养护工区</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作业班长、安全员、工区主任</w:t>
            </w: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按规定开展防汛安全教育培训和防汛演练。</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169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防汛设备设施装卸时，严禁物料下方站人。</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设专人负责现场装载指挥、专人负责开关。</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防汛设备设施及时进行维保，技术状况良好。</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防汛物资材料足够齐全。</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防汛抢险作业人员数量、身体精神状态良好。</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设备设施作业前安全检查完好。</w:t>
            </w:r>
          </w:p>
          <w:p>
            <w:pPr>
              <w:pStyle w:val="56"/>
              <w:numPr>
                <w:ilvl w:val="0"/>
                <w:numId w:val="4"/>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开展了</w:t>
            </w:r>
            <w:r>
              <w:rPr>
                <w:rFonts w:hint="eastAsia" w:ascii="宋体" w:hAnsi="宋体" w:eastAsia="宋体" w:cs="宋体"/>
                <w:kern w:val="0"/>
                <w:sz w:val="18"/>
                <w:szCs w:val="18"/>
              </w:rPr>
              <w:t>安全技术交底。</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机械设备周边环境良好。</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作业机械车辆停放于稳固的位置。</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机械作业半径范围内不得站人。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173</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高处清理作业时尽量避免上下交叉作业。</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无法避免时应自上而下，下方不得站人，必要时下方设置警戒区。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涵洞、通道等保证干净、整洁。</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路面无明显水渍或污泥，无石块等杂物堆积。</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边坡上的铁锹、铲、桶等放置牢固，不得堆放大型设备、物资。</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物品及工具不得随意抛落、顺坡滚落。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电气设备线缆、接头等做好防水防护。</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现场设备置于高处、相对干燥区域。</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插座、线缆等做好防水防护。</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线缆顺直，不得碾压、水泡、硬拉等。</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177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汛期到来前，开展防汛专项检查，对发现的隐患及时组织处理。</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工程管理部经理</w:t>
            </w:r>
            <w:r>
              <w:rPr>
                <w:rFonts w:hint="eastAsia" w:ascii="宋体" w:hAnsi="宋体" w:eastAsia="宋体" w:cs="宋体"/>
                <w:kern w:val="0"/>
                <w:sz w:val="18"/>
                <w:szCs w:val="18"/>
              </w:rPr>
              <w:br w:type="textWrapping"/>
            </w:r>
            <w:r>
              <w:rPr>
                <w:rFonts w:hint="eastAsia" w:ascii="宋体" w:hAnsi="宋体" w:eastAsia="宋体" w:cs="宋体"/>
                <w:kern w:val="0"/>
                <w:sz w:val="18"/>
                <w:szCs w:val="18"/>
              </w:rPr>
              <w:t>工区主任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78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多人井下作业时，设专人进行监护、警示。</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作业班组长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作业过程中按规定开展检查，对于设备隐患和人员违章行为应及时制止或处理。</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安全员</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汛期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79</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w:t>
            </w:r>
          </w:p>
        </w:tc>
        <w:tc>
          <w:tcPr>
            <w:tcW w:w="214"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车辆伤害/交通事故/机械伤害/起重伤害/火灾爆炸等</w:t>
            </w:r>
          </w:p>
        </w:tc>
        <w:tc>
          <w:tcPr>
            <w:tcW w:w="1357"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1.指调中心根据作业时间，利用可变情报板等及时发布道路突发信息。</w:t>
            </w:r>
            <w:r>
              <w:rPr>
                <w:rFonts w:hint="eastAsia" w:ascii="宋体" w:hAnsi="宋体" w:eastAsia="宋体" w:cs="宋体"/>
                <w:kern w:val="0"/>
                <w:sz w:val="18"/>
                <w:szCs w:val="18"/>
              </w:rPr>
              <w:br w:type="textWrapping"/>
            </w:r>
            <w:r>
              <w:rPr>
                <w:rFonts w:hint="eastAsia" w:ascii="宋体" w:hAnsi="宋体" w:eastAsia="宋体" w:cs="宋体"/>
                <w:kern w:val="0"/>
                <w:sz w:val="18"/>
                <w:szCs w:val="18"/>
              </w:rPr>
              <w:t>2.设置作业控制区，摆放标志、安全设施、设置交通引导人员等，作业未完成前不得擅自改变或移动。</w:t>
            </w:r>
            <w:r>
              <w:rPr>
                <w:rFonts w:hint="eastAsia" w:ascii="宋体" w:hAnsi="宋体" w:eastAsia="宋体" w:cs="宋体"/>
                <w:kern w:val="0"/>
                <w:sz w:val="18"/>
                <w:szCs w:val="18"/>
              </w:rPr>
              <w:br w:type="textWrapping"/>
            </w:r>
            <w:r>
              <w:rPr>
                <w:rFonts w:hint="eastAsia" w:ascii="宋体" w:hAnsi="宋体" w:eastAsia="宋体" w:cs="宋体"/>
                <w:kern w:val="0"/>
                <w:sz w:val="18"/>
                <w:szCs w:val="18"/>
              </w:rPr>
              <w:t>3.进行入场前安全技术交底、安全教育培训。</w:t>
            </w:r>
            <w:r>
              <w:rPr>
                <w:rFonts w:hint="eastAsia" w:ascii="宋体" w:hAnsi="宋体" w:eastAsia="宋体" w:cs="宋体"/>
                <w:kern w:val="0"/>
                <w:sz w:val="18"/>
                <w:szCs w:val="18"/>
              </w:rPr>
              <w:br w:type="textWrapping"/>
            </w:r>
            <w:r>
              <w:rPr>
                <w:rFonts w:hint="eastAsia" w:ascii="宋体" w:hAnsi="宋体" w:eastAsia="宋体" w:cs="宋体"/>
                <w:kern w:val="0"/>
                <w:sz w:val="18"/>
                <w:szCs w:val="18"/>
              </w:rPr>
              <w:t>4.按规定开展作业，清障车辆、工具及设备不得侵占作业控制区外的空间；除紧急情况外，严禁打开中央分隔带开口。</w:t>
            </w:r>
            <w:r>
              <w:rPr>
                <w:rFonts w:hint="eastAsia" w:ascii="宋体" w:hAnsi="宋体" w:eastAsia="宋体" w:cs="宋体"/>
                <w:kern w:val="0"/>
                <w:sz w:val="18"/>
                <w:szCs w:val="18"/>
              </w:rPr>
              <w:br w:type="textWrapping"/>
            </w:r>
            <w:r>
              <w:rPr>
                <w:rFonts w:hint="eastAsia" w:ascii="宋体" w:hAnsi="宋体" w:eastAsia="宋体" w:cs="宋体"/>
                <w:kern w:val="0"/>
                <w:sz w:val="18"/>
                <w:szCs w:val="18"/>
              </w:rPr>
              <w:t>5.加强现场指引与防护，引导社会车辆防止二次事故发生。</w:t>
            </w:r>
            <w:r>
              <w:rPr>
                <w:rFonts w:hint="eastAsia" w:ascii="宋体" w:hAnsi="宋体" w:eastAsia="宋体" w:cs="宋体"/>
                <w:kern w:val="0"/>
                <w:sz w:val="18"/>
                <w:szCs w:val="18"/>
              </w:rPr>
              <w:br w:type="textWrapping"/>
            </w:r>
            <w:r>
              <w:rPr>
                <w:rFonts w:hint="eastAsia" w:ascii="宋体" w:hAnsi="宋体" w:eastAsia="宋体" w:cs="宋体"/>
                <w:kern w:val="0"/>
                <w:sz w:val="18"/>
                <w:szCs w:val="18"/>
              </w:rPr>
              <w:t>6.按规定定期对救援车辆进行维护保养。</w:t>
            </w:r>
            <w:r>
              <w:rPr>
                <w:rFonts w:hint="eastAsia" w:ascii="宋体" w:hAnsi="宋体" w:eastAsia="宋体" w:cs="宋体"/>
                <w:kern w:val="0"/>
                <w:sz w:val="18"/>
                <w:szCs w:val="18"/>
              </w:rPr>
              <w:br w:type="textWrapping"/>
            </w:r>
            <w:r>
              <w:rPr>
                <w:rFonts w:hint="eastAsia" w:ascii="宋体" w:hAnsi="宋体" w:eastAsia="宋体" w:cs="宋体"/>
                <w:kern w:val="0"/>
                <w:sz w:val="18"/>
                <w:szCs w:val="18"/>
              </w:rPr>
              <w:t>7.救援时应确保连接牢固、安全措施到位，行进前进行安全确认，按规定路线与速度行驶。</w:t>
            </w:r>
            <w:r>
              <w:rPr>
                <w:rFonts w:hint="eastAsia" w:ascii="宋体" w:hAnsi="宋体" w:eastAsia="宋体" w:cs="宋体"/>
                <w:kern w:val="0"/>
                <w:sz w:val="18"/>
                <w:szCs w:val="18"/>
              </w:rPr>
              <w:br w:type="textWrapping"/>
            </w:r>
            <w:r>
              <w:rPr>
                <w:rFonts w:hint="eastAsia" w:ascii="宋体" w:hAnsi="宋体" w:eastAsia="宋体" w:cs="宋体"/>
                <w:kern w:val="0"/>
                <w:sz w:val="18"/>
                <w:szCs w:val="18"/>
              </w:rPr>
              <w:t>8.大型救援时应配合专业部门作业，现场作业人员应穿戴合格,遵守现场统一指挥。</w:t>
            </w:r>
            <w:r>
              <w:rPr>
                <w:rFonts w:hint="eastAsia" w:ascii="宋体" w:hAnsi="宋体" w:eastAsia="宋体" w:cs="宋体"/>
                <w:kern w:val="0"/>
                <w:sz w:val="18"/>
                <w:szCs w:val="18"/>
              </w:rPr>
              <w:br w:type="textWrapping"/>
            </w:r>
            <w:r>
              <w:rPr>
                <w:rFonts w:hint="eastAsia" w:ascii="宋体" w:hAnsi="宋体" w:eastAsia="宋体" w:cs="宋体"/>
                <w:kern w:val="0"/>
                <w:sz w:val="18"/>
                <w:szCs w:val="18"/>
              </w:rPr>
              <w:t>9.需要吊装作业时，应选用相应规格的钢丝绳、吊索、吊钩，其性能应符合标准和使用要求；起吊设备基础应平稳，支腿全部打开、平齐；吊运前检查吊运设备周边环境安全确认，设置警戒区和现场指挥人员。</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10.制定道路车辆自燃、危化品泄漏爆炸应急预案，按规定开展应急演练，提高作业人员应急救援能力。</w:t>
            </w:r>
            <w:r>
              <w:rPr>
                <w:rFonts w:hint="eastAsia" w:ascii="宋体" w:hAnsi="宋体" w:eastAsia="宋体" w:cs="宋体"/>
                <w:kern w:val="0"/>
                <w:sz w:val="18"/>
                <w:szCs w:val="18"/>
              </w:rPr>
              <w:br w:type="textWrapping"/>
            </w:r>
            <w:r>
              <w:rPr>
                <w:rFonts w:hint="eastAsia" w:ascii="宋体" w:hAnsi="宋体" w:eastAsia="宋体" w:cs="宋体"/>
                <w:kern w:val="0"/>
                <w:sz w:val="18"/>
                <w:szCs w:val="18"/>
              </w:rPr>
              <w:t>11.发生火灾、危险化学品车辆事故后应及时上报指调中心和专业救援部门，不得盲目施救，按照交警指令，现场设置警戒区，疏散无关人员和车辆，现场救援人员应做好个人防护，不得聚集和冒险救援。</w:t>
            </w:r>
          </w:p>
        </w:tc>
        <w:tc>
          <w:tcPr>
            <w:tcW w:w="212" w:type="pct"/>
            <w:vMerge w:val="restar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工程管理部经理、工程师；清障救援单位</w:t>
            </w:r>
            <w:r>
              <w:rPr>
                <w:rFonts w:hint="eastAsia" w:ascii="宋体" w:hAnsi="宋体" w:eastAsia="宋体" w:cs="宋体"/>
                <w:kern w:val="0"/>
                <w:sz w:val="18"/>
                <w:szCs w:val="18"/>
              </w:rPr>
              <w:br w:type="textWrapping"/>
            </w:r>
            <w:r>
              <w:rPr>
                <w:rFonts w:hint="eastAsia" w:ascii="宋体" w:hAnsi="宋体" w:eastAsia="宋体" w:cs="宋体"/>
                <w:kern w:val="0"/>
                <w:sz w:val="18"/>
                <w:szCs w:val="18"/>
              </w:rPr>
              <w:t>作业班长、项目负责人</w:t>
            </w:r>
          </w:p>
        </w:tc>
        <w:tc>
          <w:tcPr>
            <w:tcW w:w="1381" w:type="pct"/>
            <w:shd w:val="clear" w:color="000000" w:fill="FFFFFF"/>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根据需要上报指调中心和专业救援部门，不得盲目施救。</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80</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制定道路重大交通事故、危险品车辆事故等应急预案。</w:t>
            </w:r>
            <w:r>
              <w:rPr>
                <w:rFonts w:ascii="宋体" w:hAnsi="宋体" w:eastAsia="宋体" w:cs="宋体"/>
                <w:kern w:val="0"/>
                <w:sz w:val="18"/>
                <w:szCs w:val="18"/>
              </w:rPr>
              <w:t xml:space="preserve">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安全管理部</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按规定开展应急演练，提高作业人员应急救援能力。</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养护工区</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主任</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81</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指调中心利用可变情报板、交通广播等及时发布交通事故信息。</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指挥调度分中心</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监控班长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82</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合理安排作业人员，精神、身体状况不良人员不宜安排作业。</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人员着装符合要求。</w:t>
            </w:r>
          </w:p>
          <w:p>
            <w:pPr>
              <w:pStyle w:val="56"/>
              <w:numPr>
                <w:ilvl w:val="0"/>
                <w:numId w:val="4"/>
              </w:numPr>
              <w:spacing w:after="0" w:line="360" w:lineRule="exact"/>
              <w:ind w:firstLineChars="0"/>
              <w:rPr>
                <w:rFonts w:ascii="宋体" w:hAnsi="宋体" w:eastAsia="宋体" w:cs="宋体"/>
                <w:kern w:val="0"/>
                <w:sz w:val="18"/>
                <w:szCs w:val="18"/>
              </w:rPr>
            </w:pPr>
            <w:r>
              <w:rPr>
                <w:rFonts w:ascii="宋体" w:hAnsi="宋体" w:eastAsia="宋体" w:cs="宋体"/>
                <w:kern w:val="0"/>
                <w:sz w:val="18"/>
                <w:szCs w:val="18"/>
              </w:rPr>
              <w:t>清障救援</w:t>
            </w:r>
            <w:r>
              <w:rPr>
                <w:rFonts w:hint="eastAsia" w:ascii="宋体" w:hAnsi="宋体" w:eastAsia="宋体" w:cs="宋体"/>
                <w:kern w:val="0"/>
                <w:sz w:val="18"/>
                <w:szCs w:val="18"/>
              </w:rPr>
              <w:t>设备设施技术状态良好。</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锥桶等安全设施携带齐全。</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84</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到达现场后先设置养护作业区，设置交通引导人员、安全员。</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清障人员、车辆、工具及设备不得侵占作业控制区外的空间。</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85</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定期对救援车辆进行维护保养。</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86</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无关人员应远离机械运转部位。</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拆除的物品不得随意抛落。</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87</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运输前应确保连接牢固、安全措施到位，托运前进行安全确认，救援车辆按规定速度行驶。</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作业班长</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195" w:type="pct"/>
            <w:shd w:val="clear" w:color="auto" w:fill="auto"/>
            <w:vAlign w:val="center"/>
          </w:tcPr>
          <w:p>
            <w:pPr>
              <w:spacing w:after="0" w:line="360" w:lineRule="exact"/>
              <w:ind w:left="0" w:firstLine="0"/>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88</w:t>
            </w:r>
          </w:p>
        </w:tc>
        <w:tc>
          <w:tcPr>
            <w:tcW w:w="157" w:type="pct"/>
            <w:vMerge w:val="continue"/>
            <w:vAlign w:val="center"/>
          </w:tcPr>
          <w:p>
            <w:pPr>
              <w:spacing w:after="0" w:line="360" w:lineRule="exact"/>
              <w:ind w:left="0" w:firstLine="0"/>
              <w:rPr>
                <w:rFonts w:ascii="宋体" w:hAnsi="宋体" w:eastAsia="宋体" w:cs="宋体"/>
                <w:kern w:val="0"/>
                <w:sz w:val="18"/>
                <w:szCs w:val="18"/>
              </w:rPr>
            </w:pPr>
          </w:p>
        </w:tc>
        <w:tc>
          <w:tcPr>
            <w:tcW w:w="233" w:type="pct"/>
            <w:vMerge w:val="continue"/>
            <w:vAlign w:val="center"/>
          </w:tcPr>
          <w:p>
            <w:pPr>
              <w:spacing w:after="0" w:line="360" w:lineRule="exact"/>
              <w:ind w:left="0" w:firstLine="0"/>
              <w:rPr>
                <w:rFonts w:ascii="宋体" w:hAnsi="宋体" w:eastAsia="宋体" w:cs="宋体"/>
                <w:kern w:val="0"/>
                <w:sz w:val="18"/>
                <w:szCs w:val="18"/>
              </w:rPr>
            </w:pPr>
          </w:p>
        </w:tc>
        <w:tc>
          <w:tcPr>
            <w:tcW w:w="214" w:type="pct"/>
            <w:vMerge w:val="continue"/>
            <w:vAlign w:val="center"/>
          </w:tcPr>
          <w:p>
            <w:pPr>
              <w:spacing w:after="0" w:line="360" w:lineRule="exact"/>
              <w:ind w:left="0" w:firstLine="0"/>
              <w:rPr>
                <w:rFonts w:ascii="宋体" w:hAnsi="宋体" w:eastAsia="宋体" w:cs="宋体"/>
                <w:kern w:val="0"/>
                <w:sz w:val="18"/>
                <w:szCs w:val="18"/>
              </w:rPr>
            </w:pPr>
          </w:p>
        </w:tc>
        <w:tc>
          <w:tcPr>
            <w:tcW w:w="1357" w:type="pct"/>
            <w:vMerge w:val="continue"/>
            <w:vAlign w:val="center"/>
          </w:tcPr>
          <w:p>
            <w:pPr>
              <w:spacing w:after="0" w:line="360" w:lineRule="exact"/>
              <w:ind w:left="0" w:firstLine="0"/>
              <w:rPr>
                <w:rFonts w:ascii="宋体" w:hAnsi="宋体" w:eastAsia="宋体" w:cs="宋体"/>
                <w:kern w:val="0"/>
                <w:sz w:val="18"/>
                <w:szCs w:val="18"/>
              </w:rPr>
            </w:pPr>
          </w:p>
        </w:tc>
        <w:tc>
          <w:tcPr>
            <w:tcW w:w="212" w:type="pct"/>
            <w:vMerge w:val="continue"/>
            <w:vAlign w:val="center"/>
          </w:tcPr>
          <w:p>
            <w:pPr>
              <w:spacing w:after="0" w:line="360" w:lineRule="exact"/>
              <w:ind w:left="0" w:firstLine="0"/>
              <w:rPr>
                <w:rFonts w:ascii="宋体" w:hAnsi="宋体" w:eastAsia="宋体" w:cs="宋体"/>
                <w:kern w:val="0"/>
                <w:sz w:val="18"/>
                <w:szCs w:val="18"/>
              </w:rPr>
            </w:pPr>
          </w:p>
        </w:tc>
        <w:tc>
          <w:tcPr>
            <w:tcW w:w="1381" w:type="pct"/>
            <w:shd w:val="clear" w:color="000000" w:fill="FFFFFF"/>
            <w:vAlign w:val="center"/>
          </w:tcPr>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火灾爆炸、危险化学品泄漏等事故时，按规定设置警戒区，疏散无关人员和车辆。</w:t>
            </w:r>
          </w:p>
          <w:p>
            <w:pPr>
              <w:pStyle w:val="56"/>
              <w:numPr>
                <w:ilvl w:val="0"/>
                <w:numId w:val="4"/>
              </w:numPr>
              <w:spacing w:after="0" w:line="360" w:lineRule="exact"/>
              <w:ind w:firstLineChars="0"/>
              <w:rPr>
                <w:rFonts w:ascii="宋体" w:hAnsi="宋体" w:eastAsia="宋体" w:cs="宋体"/>
                <w:kern w:val="0"/>
                <w:sz w:val="18"/>
                <w:szCs w:val="18"/>
              </w:rPr>
            </w:pPr>
            <w:r>
              <w:rPr>
                <w:rFonts w:hint="eastAsia" w:ascii="宋体" w:hAnsi="宋体" w:eastAsia="宋体" w:cs="宋体"/>
                <w:kern w:val="0"/>
                <w:sz w:val="18"/>
                <w:szCs w:val="18"/>
              </w:rPr>
              <w:t>人员应做好个人防护，不得聚集、冒险作业，按照统一指令开展救援，不得盲目施救。</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3"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　</w:t>
            </w:r>
          </w:p>
        </w:tc>
        <w:tc>
          <w:tcPr>
            <w:tcW w:w="142"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w:t>
            </w:r>
          </w:p>
        </w:tc>
        <w:tc>
          <w:tcPr>
            <w:tcW w:w="238"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清障救援单位</w:t>
            </w:r>
          </w:p>
        </w:tc>
        <w:tc>
          <w:tcPr>
            <w:tcW w:w="286"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项目负责人</w:t>
            </w:r>
          </w:p>
        </w:tc>
        <w:tc>
          <w:tcPr>
            <w:tcW w:w="157" w:type="pct"/>
            <w:shd w:val="clear" w:color="auto" w:fill="auto"/>
            <w:vAlign w:val="center"/>
          </w:tcPr>
          <w:p>
            <w:pPr>
              <w:spacing w:after="0" w:line="360" w:lineRule="exact"/>
              <w:ind w:left="0" w:firstLine="0"/>
              <w:rPr>
                <w:rFonts w:ascii="宋体" w:hAnsi="宋体" w:eastAsia="宋体" w:cs="宋体"/>
                <w:kern w:val="0"/>
                <w:sz w:val="18"/>
                <w:szCs w:val="18"/>
              </w:rPr>
            </w:pPr>
            <w:r>
              <w:rPr>
                <w:rFonts w:hint="eastAsia" w:ascii="宋体" w:hAnsi="宋体" w:eastAsia="宋体" w:cs="宋体"/>
                <w:kern w:val="0"/>
                <w:sz w:val="18"/>
                <w:szCs w:val="18"/>
              </w:rPr>
              <w:t>作业时</w:t>
            </w:r>
          </w:p>
        </w:tc>
      </w:tr>
    </w:tbl>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p>
    <w:p>
      <w:pPr>
        <w:spacing w:after="0" w:line="240" w:lineRule="auto"/>
        <w:ind w:left="0" w:firstLine="0"/>
        <w:sectPr>
          <w:type w:val="continuous"/>
          <w:pgSz w:w="16838" w:h="11906" w:orient="landscape"/>
          <w:pgMar w:top="1440" w:right="1080" w:bottom="1440" w:left="1080" w:header="851" w:footer="1134" w:gutter="0"/>
          <w:cols w:space="720" w:num="1"/>
          <w:docGrid w:type="linesAndChars" w:linePitch="584" w:charSpace="-849"/>
        </w:sectPr>
      </w:pPr>
      <w:r>
        <w:rPr>
          <w:rFonts w:cs="Calibri" w:asciiTheme="minorEastAsia" w:hAnsiTheme="minorEastAsia" w:eastAsiaTheme="minorEastAsia"/>
          <w:b/>
          <w:color w:val="auto"/>
          <w:sz w:val="22"/>
          <w:szCs w:val="24"/>
        </w:rPr>
        <w:br w:type="page"/>
      </w:r>
    </w:p>
    <w:p>
      <w:pPr>
        <w:widowControl w:val="0"/>
        <w:spacing w:before="292" w:beforeLines="50" w:after="292" w:afterLines="50" w:line="560" w:lineRule="exact"/>
        <w:ind w:left="0" w:hanging="11"/>
        <w:outlineLvl w:val="1"/>
        <w:rPr>
          <w:rFonts w:cs="Calibri" w:asciiTheme="minorEastAsia" w:hAnsiTheme="minorEastAsia" w:eastAsiaTheme="minorEastAsia"/>
          <w:b/>
          <w:sz w:val="28"/>
          <w:szCs w:val="24"/>
        </w:rPr>
      </w:pPr>
      <w:bookmarkStart w:id="46" w:name="_Toc105769807"/>
      <w:bookmarkStart w:id="47" w:name="_Toc104720414"/>
      <w:r>
        <w:rPr>
          <w:rFonts w:hint="eastAsia" w:cs="Calibri" w:asciiTheme="minorEastAsia" w:hAnsiTheme="minorEastAsia" w:eastAsiaTheme="minorEastAsia"/>
          <w:b/>
          <w:sz w:val="28"/>
          <w:szCs w:val="24"/>
        </w:rPr>
        <w:t>3.2日常隐患排查</w:t>
      </w:r>
      <w:bookmarkEnd w:id="41"/>
      <w:r>
        <w:rPr>
          <w:rFonts w:hint="eastAsia" w:cs="Calibri" w:asciiTheme="minorEastAsia" w:hAnsiTheme="minorEastAsia" w:eastAsiaTheme="minorEastAsia"/>
          <w:b/>
          <w:sz w:val="28"/>
          <w:szCs w:val="24"/>
        </w:rPr>
        <w:t>记录</w:t>
      </w:r>
      <w:bookmarkEnd w:id="46"/>
      <w:bookmarkEnd w:id="47"/>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按照公司隐患排查治理机制，对指挥调度分中心日常隐患排查提出以下要求：</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w:t>
      </w:r>
      <w:r>
        <w:rPr>
          <w:rFonts w:cs="Calibri" w:asciiTheme="minorEastAsia" w:hAnsiTheme="minorEastAsia" w:eastAsiaTheme="minorEastAsia"/>
          <w:szCs w:val="24"/>
        </w:rPr>
        <w:t>1）养护工区内重点场所部位</w:t>
      </w:r>
      <w:r>
        <w:rPr>
          <w:rFonts w:hint="eastAsia" w:cs="Calibri" w:asciiTheme="minorEastAsia" w:hAnsiTheme="minorEastAsia" w:eastAsiaTheme="minorEastAsia"/>
          <w:szCs w:val="24"/>
        </w:rPr>
        <w:t>，</w:t>
      </w:r>
      <w:r>
        <w:rPr>
          <w:rFonts w:cs="Calibri" w:asciiTheme="minorEastAsia" w:hAnsiTheme="minorEastAsia" w:eastAsiaTheme="minorEastAsia"/>
          <w:szCs w:val="24"/>
        </w:rPr>
        <w:t>如发电机房</w:t>
      </w:r>
      <w:r>
        <w:rPr>
          <w:rFonts w:hint="eastAsia" w:cs="Calibri" w:asciiTheme="minorEastAsia" w:hAnsiTheme="minorEastAsia" w:eastAsiaTheme="minorEastAsia"/>
          <w:szCs w:val="24"/>
        </w:rPr>
        <w:t>、</w:t>
      </w:r>
      <w:r>
        <w:rPr>
          <w:rFonts w:cs="Calibri" w:asciiTheme="minorEastAsia" w:hAnsiTheme="minorEastAsia" w:eastAsiaTheme="minorEastAsia"/>
          <w:szCs w:val="24"/>
        </w:rPr>
        <w:t>消防泵房</w:t>
      </w:r>
      <w:r>
        <w:rPr>
          <w:rFonts w:hint="eastAsia" w:cs="Calibri" w:asciiTheme="minorEastAsia" w:hAnsiTheme="minorEastAsia" w:eastAsiaTheme="minorEastAsia"/>
          <w:szCs w:val="24"/>
        </w:rPr>
        <w:t>、</w:t>
      </w:r>
      <w:r>
        <w:rPr>
          <w:rFonts w:cs="Calibri" w:asciiTheme="minorEastAsia" w:hAnsiTheme="minorEastAsia" w:eastAsiaTheme="minorEastAsia"/>
          <w:szCs w:val="24"/>
        </w:rPr>
        <w:t>配电室</w:t>
      </w:r>
      <w:r>
        <w:rPr>
          <w:rFonts w:hint="eastAsia" w:cs="Calibri" w:asciiTheme="minorEastAsia" w:hAnsiTheme="minorEastAsia" w:eastAsiaTheme="minorEastAsia"/>
          <w:szCs w:val="24"/>
        </w:rPr>
        <w:t>、</w:t>
      </w:r>
      <w:r>
        <w:rPr>
          <w:rFonts w:cs="Calibri" w:asciiTheme="minorEastAsia" w:hAnsiTheme="minorEastAsia" w:eastAsiaTheme="minorEastAsia"/>
          <w:szCs w:val="24"/>
        </w:rPr>
        <w:t>食堂</w:t>
      </w:r>
      <w:r>
        <w:rPr>
          <w:rFonts w:hint="eastAsia" w:cs="Calibri" w:asciiTheme="minorEastAsia" w:hAnsiTheme="minorEastAsia" w:eastAsiaTheme="minorEastAsia"/>
          <w:szCs w:val="24"/>
        </w:rPr>
        <w:t>、</w:t>
      </w:r>
      <w:r>
        <w:rPr>
          <w:rFonts w:cs="Calibri" w:asciiTheme="minorEastAsia" w:hAnsiTheme="minorEastAsia" w:eastAsiaTheme="minorEastAsia"/>
          <w:szCs w:val="24"/>
        </w:rPr>
        <w:t>设备</w:t>
      </w:r>
      <w:r>
        <w:rPr>
          <w:rFonts w:hint="eastAsia" w:cs="Calibri" w:asciiTheme="minorEastAsia" w:hAnsiTheme="minorEastAsia" w:eastAsiaTheme="minorEastAsia"/>
          <w:szCs w:val="24"/>
        </w:rPr>
        <w:t>物资库房每日一次。</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（2）养护机械设备作业前进行隐患排查确认，每周进行一次全面排查。</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（3）道路设施及养护作业每日巡查一次。</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（4）养护工区院区及全路段每周进行一次全面排查，其中养护工区主任每两周至少组织一次。</w:t>
      </w:r>
    </w:p>
    <w:p>
      <w:pPr>
        <w:widowControl w:val="0"/>
        <w:spacing w:after="0" w:line="560" w:lineRule="exact"/>
        <w:ind w:left="0" w:firstLine="472" w:firstLineChars="200"/>
        <w:rPr>
          <w:rFonts w:cs="Calibri" w:asciiTheme="minorEastAsia" w:hAnsiTheme="minorEastAsia" w:eastAsiaTheme="minorEastAsia"/>
          <w:szCs w:val="24"/>
        </w:rPr>
      </w:pPr>
      <w:r>
        <w:rPr>
          <w:rFonts w:hint="eastAsia" w:cs="Calibri" w:asciiTheme="minorEastAsia" w:hAnsiTheme="minorEastAsia" w:eastAsiaTheme="minorEastAsia"/>
          <w:szCs w:val="24"/>
        </w:rPr>
        <w:t>具体排查要求如下：</w:t>
      </w:r>
    </w:p>
    <w:p>
      <w:pPr>
        <w:widowControl w:val="0"/>
        <w:spacing w:after="0" w:line="560" w:lineRule="exact"/>
        <w:ind w:left="0" w:firstLine="412" w:firstLineChars="200"/>
        <w:jc w:val="center"/>
        <w:rPr>
          <w:rFonts w:cs="Calibri" w:asciiTheme="minorEastAsia" w:hAnsiTheme="minorEastAsia" w:eastAsiaTheme="minorEastAsia"/>
          <w:b/>
          <w:sz w:val="21"/>
          <w:szCs w:val="24"/>
        </w:rPr>
      </w:pPr>
      <w:r>
        <w:rPr>
          <w:rFonts w:hint="eastAsia" w:cs="Calibri" w:asciiTheme="minorEastAsia" w:hAnsiTheme="minorEastAsia" w:eastAsiaTheme="minorEastAsia"/>
          <w:b/>
          <w:sz w:val="21"/>
          <w:szCs w:val="24"/>
        </w:rPr>
        <w:t>表3-</w:t>
      </w:r>
      <w:r>
        <w:rPr>
          <w:rFonts w:cs="Calibri" w:asciiTheme="minorEastAsia" w:hAnsiTheme="minorEastAsia" w:eastAsiaTheme="minorEastAsia"/>
          <w:b/>
          <w:sz w:val="21"/>
          <w:szCs w:val="24"/>
        </w:rPr>
        <w:t>3</w:t>
      </w:r>
      <w:r>
        <w:rPr>
          <w:rFonts w:hint="eastAsia" w:cs="Calibri" w:asciiTheme="minorEastAsia" w:hAnsiTheme="minorEastAsia" w:eastAsiaTheme="minorEastAsia"/>
          <w:b/>
          <w:sz w:val="21"/>
          <w:szCs w:val="24"/>
        </w:rPr>
        <w:t xml:space="preserve"> 养护工区隐患排查治理要求</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29"/>
        <w:gridCol w:w="3065"/>
        <w:gridCol w:w="6455"/>
        <w:gridCol w:w="2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场所部位</w:t>
            </w:r>
            <w:r>
              <w:rPr>
                <w:rFonts w:hint="eastAsia" w:cs="Calibri" w:asciiTheme="minorEastAsia" w:hAnsiTheme="minorEastAsia" w:eastAsiaTheme="minorEastAsia"/>
                <w:sz w:val="21"/>
                <w:szCs w:val="24"/>
              </w:rPr>
              <w:t>/设备设施</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排查频次</w:t>
            </w:r>
          </w:p>
        </w:tc>
        <w:tc>
          <w:tcPr>
            <w:tcW w:w="216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排查人</w:t>
            </w:r>
          </w:p>
        </w:tc>
        <w:tc>
          <w:tcPr>
            <w:tcW w:w="788"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排查要求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发电机房</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每日一次</w:t>
            </w:r>
          </w:p>
        </w:tc>
        <w:tc>
          <w:tcPr>
            <w:tcW w:w="2167" w:type="pct"/>
            <w:vMerge w:val="restar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各</w:t>
            </w:r>
            <w:r>
              <w:rPr>
                <w:rFonts w:hint="eastAsia" w:cs="Calibri" w:asciiTheme="minorEastAsia" w:hAnsiTheme="minorEastAsia" w:eastAsiaTheme="minorEastAsia"/>
                <w:sz w:val="21"/>
                <w:szCs w:val="24"/>
              </w:rPr>
              <w:t>养护</w:t>
            </w:r>
            <w:r>
              <w:rPr>
                <w:rFonts w:cs="Calibri" w:asciiTheme="minorEastAsia" w:hAnsiTheme="minorEastAsia" w:eastAsiaTheme="minorEastAsia"/>
                <w:sz w:val="21"/>
                <w:szCs w:val="24"/>
              </w:rPr>
              <w:t>工区根据本</w:t>
            </w:r>
            <w:r>
              <w:rPr>
                <w:rFonts w:hint="eastAsia" w:cs="Calibri" w:asciiTheme="minorEastAsia" w:hAnsiTheme="minorEastAsia" w:eastAsiaTheme="minorEastAsia"/>
                <w:sz w:val="21"/>
                <w:szCs w:val="24"/>
              </w:rPr>
              <w:t>工区</w:t>
            </w:r>
            <w:r>
              <w:rPr>
                <w:rFonts w:cs="Calibri" w:asciiTheme="minorEastAsia" w:hAnsiTheme="minorEastAsia" w:eastAsiaTheme="minorEastAsia"/>
                <w:sz w:val="21"/>
                <w:szCs w:val="24"/>
              </w:rPr>
              <w:t>人员配置情况确定</w:t>
            </w:r>
            <w:r>
              <w:rPr>
                <w:rFonts w:hint="eastAsia" w:cs="Calibri" w:asciiTheme="minorEastAsia" w:hAnsiTheme="minorEastAsia" w:eastAsiaTheme="minorEastAsia"/>
                <w:sz w:val="21"/>
                <w:szCs w:val="24"/>
              </w:rPr>
              <w:t>。</w:t>
            </w:r>
          </w:p>
        </w:tc>
        <w:tc>
          <w:tcPr>
            <w:tcW w:w="788" w:type="pct"/>
            <w:vMerge w:val="restar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隐患排查记录表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消防泵房</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每日一次</w:t>
            </w:r>
          </w:p>
        </w:tc>
        <w:tc>
          <w:tcPr>
            <w:tcW w:w="2167"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c>
          <w:tcPr>
            <w:tcW w:w="788"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配电室</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每日一次</w:t>
            </w:r>
          </w:p>
        </w:tc>
        <w:tc>
          <w:tcPr>
            <w:tcW w:w="2167"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c>
          <w:tcPr>
            <w:tcW w:w="788"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食堂</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每日一次</w:t>
            </w:r>
          </w:p>
        </w:tc>
        <w:tc>
          <w:tcPr>
            <w:tcW w:w="2167"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c>
          <w:tcPr>
            <w:tcW w:w="788"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hint="eastAsia" w:cs="Calibri" w:asciiTheme="minorEastAsia" w:hAnsiTheme="minorEastAsia" w:eastAsiaTheme="minorEastAsia"/>
                <w:sz w:val="21"/>
                <w:szCs w:val="24"/>
              </w:rPr>
              <w:t>设备</w:t>
            </w:r>
            <w:r>
              <w:rPr>
                <w:rFonts w:cs="Calibri" w:asciiTheme="minorEastAsia" w:hAnsiTheme="minorEastAsia" w:eastAsiaTheme="minorEastAsia"/>
                <w:sz w:val="21"/>
                <w:szCs w:val="24"/>
              </w:rPr>
              <w:t>物资库房</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每日一次</w:t>
            </w:r>
          </w:p>
        </w:tc>
        <w:tc>
          <w:tcPr>
            <w:tcW w:w="2167"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c>
          <w:tcPr>
            <w:tcW w:w="788"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hint="eastAsia" w:cs="Calibri" w:asciiTheme="minorEastAsia" w:hAnsiTheme="minorEastAsia" w:eastAsiaTheme="minorEastAsia"/>
                <w:sz w:val="21"/>
                <w:szCs w:val="24"/>
              </w:rPr>
              <w:t>道路</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每日一次</w:t>
            </w:r>
          </w:p>
        </w:tc>
        <w:tc>
          <w:tcPr>
            <w:tcW w:w="2167"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c>
          <w:tcPr>
            <w:tcW w:w="788"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养护机械设备</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作业前一次</w:t>
            </w:r>
          </w:p>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每周一次</w:t>
            </w:r>
          </w:p>
        </w:tc>
        <w:tc>
          <w:tcPr>
            <w:tcW w:w="2167"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c>
          <w:tcPr>
            <w:tcW w:w="788"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hint="eastAsia" w:cs="Calibri" w:asciiTheme="minorEastAsia" w:hAnsiTheme="minorEastAsia" w:eastAsiaTheme="minorEastAsia"/>
                <w:sz w:val="21"/>
                <w:szCs w:val="24"/>
              </w:rPr>
              <w:t>养护</w:t>
            </w:r>
            <w:r>
              <w:rPr>
                <w:rFonts w:cs="Calibri" w:asciiTheme="minorEastAsia" w:hAnsiTheme="minorEastAsia" w:eastAsiaTheme="minorEastAsia"/>
                <w:sz w:val="21"/>
                <w:szCs w:val="24"/>
              </w:rPr>
              <w:t>道路及工区院区</w:t>
            </w:r>
          </w:p>
        </w:tc>
        <w:tc>
          <w:tcPr>
            <w:tcW w:w="1029"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每周一次</w:t>
            </w:r>
          </w:p>
        </w:tc>
        <w:tc>
          <w:tcPr>
            <w:tcW w:w="2167"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hint="eastAsia" w:cs="Calibri" w:asciiTheme="minorEastAsia" w:hAnsiTheme="minorEastAsia" w:eastAsiaTheme="minorEastAsia"/>
                <w:sz w:val="21"/>
                <w:szCs w:val="24"/>
              </w:rPr>
              <w:t>养护</w:t>
            </w:r>
            <w:r>
              <w:rPr>
                <w:rFonts w:cs="Calibri" w:asciiTheme="minorEastAsia" w:hAnsiTheme="minorEastAsia" w:eastAsiaTheme="minorEastAsia"/>
                <w:sz w:val="21"/>
                <w:szCs w:val="24"/>
              </w:rPr>
              <w:t>工区主任</w:t>
            </w:r>
            <w:r>
              <w:rPr>
                <w:rFonts w:hint="eastAsia" w:cs="Calibri" w:asciiTheme="minorEastAsia" w:hAnsiTheme="minorEastAsia" w:eastAsiaTheme="minorEastAsia"/>
                <w:sz w:val="21"/>
                <w:szCs w:val="24"/>
              </w:rPr>
              <w:t>、</w:t>
            </w:r>
            <w:r>
              <w:rPr>
                <w:rFonts w:cs="Calibri" w:asciiTheme="minorEastAsia" w:hAnsiTheme="minorEastAsia" w:eastAsiaTheme="minorEastAsia"/>
                <w:sz w:val="21"/>
                <w:szCs w:val="24"/>
              </w:rPr>
              <w:t>副主任</w:t>
            </w:r>
            <w:r>
              <w:rPr>
                <w:rFonts w:hint="eastAsia" w:cs="Calibri" w:asciiTheme="minorEastAsia" w:hAnsiTheme="minorEastAsia" w:eastAsiaTheme="minorEastAsia"/>
                <w:sz w:val="21"/>
                <w:szCs w:val="24"/>
              </w:rPr>
              <w:t>组织，其中主任每两周至少组织一次。</w:t>
            </w:r>
          </w:p>
        </w:tc>
        <w:tc>
          <w:tcPr>
            <w:tcW w:w="788" w:type="pct"/>
            <w:vMerge w:val="continue"/>
            <w:vAlign w:val="center"/>
          </w:tcPr>
          <w:p>
            <w:pPr>
              <w:widowControl w:val="0"/>
              <w:spacing w:after="0" w:line="560" w:lineRule="exact"/>
              <w:ind w:left="0" w:firstLine="0"/>
              <w:jc w:val="both"/>
              <w:rPr>
                <w:rFonts w:cs="Calibri" w:asciiTheme="minorEastAsia" w:hAnsiTheme="minorEastAsia" w:eastAsiaTheme="minorEastAsia"/>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2" w:type="pct"/>
            <w:gridSpan w:val="3"/>
            <w:vAlign w:val="center"/>
          </w:tcPr>
          <w:p>
            <w:pPr>
              <w:widowControl w:val="0"/>
              <w:spacing w:after="0" w:line="560" w:lineRule="exact"/>
              <w:ind w:left="0" w:firstLine="0"/>
              <w:jc w:val="left"/>
              <w:rPr>
                <w:rFonts w:cs="Calibri" w:asciiTheme="minorEastAsia" w:hAnsiTheme="minorEastAsia" w:eastAsiaTheme="minorEastAsia"/>
                <w:b/>
                <w:sz w:val="21"/>
                <w:szCs w:val="24"/>
              </w:rPr>
            </w:pPr>
            <w:r>
              <w:rPr>
                <w:rFonts w:cs="Calibri" w:asciiTheme="minorEastAsia" w:hAnsiTheme="minorEastAsia" w:eastAsiaTheme="minorEastAsia"/>
                <w:b/>
                <w:sz w:val="21"/>
                <w:szCs w:val="24"/>
              </w:rPr>
              <w:t>注</w:t>
            </w:r>
            <w:r>
              <w:rPr>
                <w:rFonts w:hint="eastAsia" w:cs="Calibri" w:asciiTheme="minorEastAsia" w:hAnsiTheme="minorEastAsia" w:eastAsiaTheme="minorEastAsia"/>
                <w:b/>
                <w:sz w:val="21"/>
                <w:szCs w:val="24"/>
              </w:rPr>
              <w:t>：每月</w:t>
            </w:r>
            <w:r>
              <w:rPr>
                <w:rFonts w:cs="Calibri" w:asciiTheme="minorEastAsia" w:hAnsiTheme="minorEastAsia" w:eastAsiaTheme="minorEastAsia"/>
                <w:b/>
                <w:sz w:val="21"/>
                <w:szCs w:val="24"/>
              </w:rPr>
              <w:t>上报隐患排查治理台账至</w:t>
            </w:r>
            <w:r>
              <w:rPr>
                <w:rFonts w:hint="eastAsia" w:cs="Calibri" w:asciiTheme="minorEastAsia" w:hAnsiTheme="minorEastAsia" w:eastAsiaTheme="minorEastAsia"/>
                <w:b/>
                <w:sz w:val="21"/>
                <w:szCs w:val="24"/>
              </w:rPr>
              <w:t>安全</w:t>
            </w:r>
            <w:r>
              <w:rPr>
                <w:rFonts w:cs="Calibri" w:asciiTheme="minorEastAsia" w:hAnsiTheme="minorEastAsia" w:eastAsiaTheme="minorEastAsia"/>
                <w:b/>
                <w:sz w:val="21"/>
                <w:szCs w:val="24"/>
              </w:rPr>
              <w:t>管理部</w:t>
            </w:r>
          </w:p>
        </w:tc>
        <w:tc>
          <w:tcPr>
            <w:tcW w:w="788" w:type="pct"/>
            <w:vAlign w:val="center"/>
          </w:tcPr>
          <w:p>
            <w:pPr>
              <w:widowControl w:val="0"/>
              <w:spacing w:after="0" w:line="560" w:lineRule="exact"/>
              <w:ind w:left="0" w:firstLine="0"/>
              <w:jc w:val="center"/>
              <w:rPr>
                <w:rFonts w:cs="Calibri" w:asciiTheme="minorEastAsia" w:hAnsiTheme="minorEastAsia" w:eastAsiaTheme="minorEastAsia"/>
                <w:sz w:val="21"/>
                <w:szCs w:val="24"/>
              </w:rPr>
            </w:pPr>
            <w:r>
              <w:rPr>
                <w:rFonts w:cs="Calibri" w:asciiTheme="minorEastAsia" w:hAnsiTheme="minorEastAsia" w:eastAsiaTheme="minorEastAsia"/>
                <w:sz w:val="21"/>
                <w:szCs w:val="24"/>
              </w:rPr>
              <w:t>隐患排查治理台账</w:t>
            </w:r>
          </w:p>
        </w:tc>
      </w:tr>
    </w:tbl>
    <w:p>
      <w:pPr>
        <w:widowControl w:val="0"/>
        <w:spacing w:after="0" w:line="560" w:lineRule="exact"/>
        <w:ind w:left="0" w:firstLine="412" w:firstLineChars="200"/>
        <w:jc w:val="center"/>
        <w:rPr>
          <w:rFonts w:cs="Calibri" w:asciiTheme="minorEastAsia" w:hAnsiTheme="minorEastAsia" w:eastAsiaTheme="minorEastAsia"/>
          <w:b/>
          <w:sz w:val="21"/>
          <w:szCs w:val="24"/>
        </w:rPr>
      </w:pPr>
    </w:p>
    <w:p>
      <w:pPr>
        <w:spacing w:after="0" w:line="240" w:lineRule="auto"/>
        <w:ind w:left="0" w:firstLine="0"/>
        <w:rPr>
          <w:rFonts w:cs="Calibri" w:asciiTheme="minorEastAsia" w:hAnsiTheme="minorEastAsia" w:eastAsiaTheme="minorEastAsia"/>
          <w:b/>
          <w:sz w:val="21"/>
          <w:szCs w:val="24"/>
        </w:rPr>
      </w:pPr>
      <w:r>
        <w:rPr>
          <w:rFonts w:cs="Calibri" w:asciiTheme="minorEastAsia" w:hAnsiTheme="minorEastAsia" w:eastAsiaTheme="minorEastAsia"/>
          <w:b/>
          <w:sz w:val="21"/>
          <w:szCs w:val="24"/>
        </w:rPr>
        <w:br w:type="page"/>
      </w:r>
    </w:p>
    <w:p>
      <w:pPr>
        <w:widowControl w:val="0"/>
        <w:spacing w:after="0" w:line="560" w:lineRule="exact"/>
        <w:ind w:left="0" w:firstLine="412" w:firstLineChars="200"/>
        <w:jc w:val="center"/>
        <w:rPr>
          <w:rFonts w:cs="Calibri" w:asciiTheme="minorEastAsia" w:hAnsiTheme="minorEastAsia" w:eastAsiaTheme="minorEastAsia"/>
          <w:b/>
          <w:sz w:val="21"/>
          <w:szCs w:val="24"/>
        </w:rPr>
      </w:pPr>
      <w:r>
        <w:rPr>
          <w:rFonts w:hint="eastAsia" w:cs="Calibri" w:asciiTheme="minorEastAsia" w:hAnsiTheme="minorEastAsia" w:eastAsiaTheme="minorEastAsia"/>
          <w:b/>
          <w:sz w:val="21"/>
          <w:szCs w:val="24"/>
        </w:rPr>
        <w:t>表3-</w:t>
      </w:r>
      <w:r>
        <w:rPr>
          <w:rFonts w:cs="Calibri" w:asciiTheme="minorEastAsia" w:hAnsiTheme="minorEastAsia" w:eastAsiaTheme="minorEastAsia"/>
          <w:b/>
          <w:sz w:val="21"/>
          <w:szCs w:val="24"/>
        </w:rPr>
        <w:t>4</w:t>
      </w:r>
      <w:r>
        <w:rPr>
          <w:rFonts w:hint="eastAsia" w:cs="Calibri" w:asciiTheme="minorEastAsia" w:hAnsiTheme="minorEastAsia" w:eastAsiaTheme="minorEastAsia"/>
          <w:b/>
          <w:sz w:val="21"/>
          <w:szCs w:val="24"/>
        </w:rPr>
        <w:t xml:space="preserve"> 发电机房隐患排查记录表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933"/>
        <w:gridCol w:w="1756"/>
        <w:gridCol w:w="1756"/>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5" w:hRule="atLeast"/>
        </w:trPr>
        <w:tc>
          <w:tcPr>
            <w:tcW w:w="1337" w:type="pct"/>
            <w:tcBorders>
              <w:bottom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textAlignment w:val="center"/>
              <w:rPr>
                <w:rFonts w:cs="宋体" w:asciiTheme="minorEastAsia" w:hAnsiTheme="minorEastAsia" w:eastAsiaTheme="minorEastAsia"/>
                <w:sz w:val="21"/>
                <w:szCs w:val="21"/>
              </w:rPr>
            </w:pPr>
            <w:r>
              <w:rPr>
                <w:rFonts w:hint="eastAsia" w:asciiTheme="majorEastAsia" w:hAnsiTheme="majorEastAsia" w:eastAsiaTheme="majorEastAsia"/>
                <w:b/>
                <w:sz w:val="21"/>
                <w:szCs w:val="21"/>
              </w:rPr>
              <w:t>排查日期：</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r>
              <w:rPr>
                <w:rFonts w:hint="eastAsia" w:asciiTheme="majorEastAsia" w:hAnsiTheme="majorEastAsia" w:eastAsiaTheme="majorEastAsia"/>
                <w:b/>
                <w:sz w:val="21"/>
                <w:szCs w:val="21"/>
              </w:rPr>
              <w:t xml:space="preserve"> ——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p>
        </w:tc>
        <w:tc>
          <w:tcPr>
            <w:tcW w:w="3663" w:type="pct"/>
            <w:gridSpan w:val="7"/>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tcBorders>
              <w:top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隐患排查内容</w:t>
            </w:r>
          </w:p>
        </w:tc>
        <w:tc>
          <w:tcPr>
            <w:tcW w:w="597" w:type="pct"/>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周一</w:t>
            </w:r>
          </w:p>
        </w:tc>
        <w:tc>
          <w:tcPr>
            <w:tcW w:w="597"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周二</w:t>
            </w:r>
          </w:p>
        </w:tc>
        <w:tc>
          <w:tcPr>
            <w:tcW w:w="506"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周三</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周四</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周五</w:t>
            </w:r>
          </w:p>
        </w:tc>
        <w:tc>
          <w:tcPr>
            <w:tcW w:w="460"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周六</w:t>
            </w:r>
          </w:p>
        </w:tc>
        <w:tc>
          <w:tcPr>
            <w:tcW w:w="493"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56"/>
              <w:spacing w:before="116" w:beforeLines="20" w:after="116" w:afterLines="20" w:line="320" w:lineRule="exact"/>
              <w:ind w:left="0" w:firstLine="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1.门窗及孔洞关闭严密，室内无杂物、油污、虫鼠踪迹、私拉乱接等。</w:t>
            </w:r>
          </w:p>
          <w:p>
            <w:pPr>
              <w:spacing w:before="116" w:beforeLines="20" w:after="116" w:afterLines="20" w:line="320" w:lineRule="exact"/>
              <w:ind w:left="0" w:firstLine="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2.室内环境良好，温湿度正常。</w:t>
            </w:r>
          </w:p>
          <w:p>
            <w:pPr>
              <w:pStyle w:val="56"/>
              <w:spacing w:before="116" w:beforeLines="20" w:after="116" w:afterLines="20" w:line="320" w:lineRule="exact"/>
              <w:ind w:left="0" w:firstLine="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3.启动电池电压正常、档位正常、无故障告警。</w:t>
            </w:r>
          </w:p>
          <w:p>
            <w:pPr>
              <w:pStyle w:val="56"/>
              <w:spacing w:before="116" w:beforeLines="20" w:after="116" w:afterLines="20" w:line="320" w:lineRule="exact"/>
              <w:ind w:left="0" w:firstLine="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4.油箱油量储备足够，管道、油箱无变形、泄露、破损等。</w:t>
            </w:r>
          </w:p>
          <w:p>
            <w:pPr>
              <w:spacing w:before="116" w:beforeLines="20" w:after="116" w:afterLines="20" w:line="320" w:lineRule="exact"/>
              <w:ind w:left="0" w:firstLine="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5.机油油位、水箱液位正常。</w:t>
            </w:r>
          </w:p>
          <w:p>
            <w:pPr>
              <w:spacing w:before="116" w:beforeLines="20" w:after="116" w:afterLines="20" w:line="320" w:lineRule="exact"/>
              <w:ind w:left="0" w:firstLine="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6.线缆连接、接地连接正常。</w:t>
            </w:r>
          </w:p>
          <w:p>
            <w:pPr>
              <w:spacing w:before="116" w:beforeLines="20" w:after="116" w:afterLines="20" w:line="320" w:lineRule="exact"/>
              <w:ind w:left="0" w:firstLine="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7.作业工具配置齐全有效。</w:t>
            </w:r>
          </w:p>
          <w:p>
            <w:pPr>
              <w:spacing w:before="116" w:beforeLines="20" w:after="116" w:afterLines="20" w:line="320" w:lineRule="exact"/>
              <w:ind w:left="0" w:firstLine="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8.消防器材、应急照明配置齐全有效。</w:t>
            </w:r>
          </w:p>
          <w:p>
            <w:pPr>
              <w:spacing w:before="116" w:beforeLines="20" w:after="116" w:afterLines="20" w:line="320" w:lineRule="exact"/>
              <w:ind w:left="0" w:firstLine="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9.定期启动测试，运行状态正常。</w:t>
            </w:r>
          </w:p>
          <w:p>
            <w:pPr>
              <w:pStyle w:val="56"/>
              <w:spacing w:before="116" w:beforeLines="20" w:after="116" w:afterLines="20" w:line="320" w:lineRule="exact"/>
              <w:ind w:left="0" w:firstLine="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10.消防器材、应急照明配置齐全有效。</w:t>
            </w:r>
          </w:p>
          <w:p>
            <w:pPr>
              <w:pStyle w:val="56"/>
              <w:spacing w:before="116" w:beforeLines="20" w:after="116" w:afterLines="20" w:line="320" w:lineRule="exact"/>
              <w:ind w:left="0" w:firstLine="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1</w:t>
            </w:r>
            <w:r>
              <w:rPr>
                <w:rFonts w:cs="宋体" w:asciiTheme="minorEastAsia" w:hAnsiTheme="minorEastAsia" w:eastAsiaTheme="minorEastAsia"/>
                <w:kern w:val="0"/>
                <w:sz w:val="21"/>
                <w:szCs w:val="21"/>
                <w:lang w:bidi="ar"/>
              </w:rPr>
              <w:t>1.其他</w:t>
            </w:r>
          </w:p>
        </w:tc>
        <w:tc>
          <w:tcPr>
            <w:tcW w:w="597" w:type="pct"/>
            <w:shd w:val="clear" w:color="auto" w:fill="auto"/>
            <w:tcMar>
              <w:top w:w="15" w:type="dxa"/>
              <w:left w:w="15" w:type="dxa"/>
              <w:right w:w="15" w:type="dxa"/>
            </w:tcMar>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97"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6"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460"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493"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r>
    </w:tbl>
    <w:p>
      <w:pPr>
        <w:widowControl w:val="0"/>
        <w:spacing w:after="0" w:line="560" w:lineRule="exact"/>
        <w:ind w:left="0" w:firstLine="412" w:firstLineChars="200"/>
        <w:jc w:val="center"/>
        <w:rPr>
          <w:rFonts w:cs="Calibri" w:asciiTheme="minorEastAsia" w:hAnsiTheme="minorEastAsia" w:eastAsiaTheme="minorEastAsia"/>
          <w:b/>
          <w:sz w:val="21"/>
          <w:szCs w:val="24"/>
        </w:rPr>
      </w:pPr>
      <w:r>
        <w:rPr>
          <w:rFonts w:cs="Calibri" w:asciiTheme="minorEastAsia" w:hAnsiTheme="minorEastAsia" w:eastAsiaTheme="minorEastAsia"/>
          <w:b/>
          <w:sz w:val="21"/>
          <w:szCs w:val="24"/>
        </w:rPr>
        <w:br w:type="page"/>
      </w:r>
      <w:r>
        <w:rPr>
          <w:rFonts w:hint="eastAsia" w:cs="Calibri" w:asciiTheme="minorEastAsia" w:hAnsiTheme="minorEastAsia" w:eastAsiaTheme="minorEastAsia"/>
          <w:b/>
          <w:sz w:val="21"/>
          <w:szCs w:val="24"/>
        </w:rPr>
        <w:t>表3-</w:t>
      </w:r>
      <w:r>
        <w:rPr>
          <w:rFonts w:cs="Calibri" w:asciiTheme="minorEastAsia" w:hAnsiTheme="minorEastAsia" w:eastAsiaTheme="minorEastAsia"/>
          <w:b/>
          <w:sz w:val="21"/>
          <w:szCs w:val="24"/>
        </w:rPr>
        <w:t>5</w:t>
      </w:r>
      <w:r>
        <w:rPr>
          <w:rFonts w:hint="eastAsia" w:cs="Calibri" w:asciiTheme="minorEastAsia" w:hAnsiTheme="minorEastAsia" w:eastAsiaTheme="minorEastAsia"/>
          <w:b/>
          <w:sz w:val="21"/>
          <w:szCs w:val="24"/>
        </w:rPr>
        <w:t xml:space="preserve"> 消防泵房隐患排查记录表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933"/>
        <w:gridCol w:w="1756"/>
        <w:gridCol w:w="1756"/>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tcBorders>
              <w:top w:val="single" w:color="auto" w:sz="4" w:space="0"/>
              <w:bottom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sz w:val="21"/>
                <w:szCs w:val="21"/>
              </w:rPr>
            </w:pPr>
            <w:r>
              <w:rPr>
                <w:rFonts w:hint="eastAsia" w:asciiTheme="majorEastAsia" w:hAnsiTheme="majorEastAsia" w:eastAsiaTheme="majorEastAsia"/>
                <w:b/>
                <w:sz w:val="21"/>
                <w:szCs w:val="21"/>
              </w:rPr>
              <w:t>排查日期：</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r>
              <w:rPr>
                <w:rFonts w:hint="eastAsia" w:asciiTheme="majorEastAsia" w:hAnsiTheme="majorEastAsia" w:eastAsiaTheme="majorEastAsia"/>
                <w:b/>
                <w:sz w:val="21"/>
                <w:szCs w:val="21"/>
              </w:rPr>
              <w:t xml:space="preserve"> ——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p>
        </w:tc>
        <w:tc>
          <w:tcPr>
            <w:tcW w:w="3663" w:type="pct"/>
            <w:gridSpan w:val="7"/>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tcBorders>
              <w:top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隐患排查内容</w:t>
            </w:r>
          </w:p>
        </w:tc>
        <w:tc>
          <w:tcPr>
            <w:tcW w:w="597" w:type="pct"/>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周一</w:t>
            </w:r>
          </w:p>
        </w:tc>
        <w:tc>
          <w:tcPr>
            <w:tcW w:w="597"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周二</w:t>
            </w:r>
          </w:p>
        </w:tc>
        <w:tc>
          <w:tcPr>
            <w:tcW w:w="506"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周三</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周四</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周五</w:t>
            </w:r>
          </w:p>
        </w:tc>
        <w:tc>
          <w:tcPr>
            <w:tcW w:w="460"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周六</w:t>
            </w:r>
          </w:p>
        </w:tc>
        <w:tc>
          <w:tcPr>
            <w:tcW w:w="493"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门窗及孔洞关闭严密，室内无杂物、泄露、虫鼠踪迹、私拉乱接等。</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室内</w:t>
            </w:r>
            <w:r>
              <w:rPr>
                <w:rFonts w:hint="eastAsia" w:cs="宋体" w:asciiTheme="minorEastAsia" w:hAnsiTheme="minorEastAsia" w:eastAsiaTheme="minorEastAsia"/>
                <w:kern w:val="0"/>
                <w:sz w:val="21"/>
                <w:szCs w:val="21"/>
                <w:lang w:bidi="ar"/>
              </w:rPr>
              <w:t>环境良好，温湿度正常。</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ascii="宋体" w:hAnsi="宋体" w:eastAsia="宋体" w:cs="宋体"/>
                <w:kern w:val="0"/>
                <w:sz w:val="21"/>
                <w:szCs w:val="21"/>
              </w:rPr>
              <w:t>控制柜处于正确档位，无故障告警。</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ascii="宋体" w:hAnsi="宋体" w:eastAsia="宋体" w:cs="宋体"/>
                <w:kern w:val="0"/>
                <w:sz w:val="21"/>
                <w:szCs w:val="21"/>
              </w:rPr>
              <w:t>水泵压力</w:t>
            </w:r>
            <w:r>
              <w:rPr>
                <w:rFonts w:hint="eastAsia" w:ascii="宋体" w:hAnsi="宋体" w:eastAsia="宋体" w:cs="宋体"/>
                <w:kern w:val="0"/>
                <w:sz w:val="21"/>
                <w:szCs w:val="21"/>
              </w:rPr>
              <w:t>、</w:t>
            </w:r>
            <w:r>
              <w:rPr>
                <w:rFonts w:ascii="宋体" w:hAnsi="宋体" w:eastAsia="宋体" w:cs="宋体"/>
                <w:kern w:val="0"/>
                <w:sz w:val="21"/>
                <w:szCs w:val="21"/>
              </w:rPr>
              <w:t>阀门处于正常状态</w:t>
            </w:r>
            <w:r>
              <w:rPr>
                <w:rFonts w:hint="eastAsia" w:ascii="宋体" w:hAnsi="宋体" w:eastAsia="宋体" w:cs="宋体"/>
                <w:kern w:val="0"/>
                <w:sz w:val="21"/>
                <w:szCs w:val="21"/>
              </w:rPr>
              <w:t>。</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ascii="宋体" w:hAnsi="宋体" w:eastAsia="宋体" w:cs="宋体"/>
                <w:kern w:val="0"/>
                <w:sz w:val="21"/>
                <w:szCs w:val="21"/>
              </w:rPr>
              <w:t>设备运转正常</w:t>
            </w:r>
            <w:r>
              <w:rPr>
                <w:rFonts w:hint="eastAsia" w:ascii="宋体" w:hAnsi="宋体" w:eastAsia="宋体" w:cs="宋体"/>
                <w:kern w:val="0"/>
                <w:sz w:val="21"/>
                <w:szCs w:val="21"/>
              </w:rPr>
              <w:t>，</w:t>
            </w:r>
            <w:r>
              <w:rPr>
                <w:rFonts w:ascii="宋体" w:hAnsi="宋体" w:eastAsia="宋体" w:cs="宋体"/>
                <w:kern w:val="0"/>
                <w:sz w:val="21"/>
                <w:szCs w:val="21"/>
              </w:rPr>
              <w:t>无异响</w:t>
            </w:r>
            <w:r>
              <w:rPr>
                <w:rFonts w:hint="eastAsia" w:ascii="宋体" w:hAnsi="宋体" w:eastAsia="宋体" w:cs="宋体"/>
                <w:kern w:val="0"/>
                <w:sz w:val="21"/>
                <w:szCs w:val="21"/>
              </w:rPr>
              <w:t>、</w:t>
            </w:r>
            <w:r>
              <w:rPr>
                <w:rFonts w:ascii="宋体" w:hAnsi="宋体" w:eastAsia="宋体" w:cs="宋体"/>
                <w:kern w:val="0"/>
                <w:sz w:val="21"/>
                <w:szCs w:val="21"/>
              </w:rPr>
              <w:t>震颤</w:t>
            </w:r>
            <w:r>
              <w:rPr>
                <w:rFonts w:hint="eastAsia" w:ascii="宋体" w:hAnsi="宋体" w:eastAsia="宋体" w:cs="宋体"/>
                <w:kern w:val="0"/>
                <w:sz w:val="21"/>
                <w:szCs w:val="21"/>
              </w:rPr>
              <w:t>、</w:t>
            </w:r>
            <w:r>
              <w:rPr>
                <w:rFonts w:ascii="宋体" w:hAnsi="宋体" w:eastAsia="宋体" w:cs="宋体"/>
                <w:kern w:val="0"/>
                <w:sz w:val="21"/>
                <w:szCs w:val="21"/>
              </w:rPr>
              <w:t>异味等</w:t>
            </w:r>
            <w:r>
              <w:rPr>
                <w:rFonts w:hint="eastAsia" w:ascii="宋体" w:hAnsi="宋体" w:eastAsia="宋体" w:cs="宋体"/>
                <w:kern w:val="0"/>
                <w:sz w:val="21"/>
                <w:szCs w:val="21"/>
              </w:rPr>
              <w:t>。</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ascii="宋体" w:hAnsi="宋体" w:eastAsia="宋体" w:cs="宋体"/>
                <w:kern w:val="0"/>
                <w:sz w:val="21"/>
                <w:szCs w:val="21"/>
              </w:rPr>
              <w:t>消防</w:t>
            </w:r>
            <w:r>
              <w:rPr>
                <w:rFonts w:ascii="宋体" w:hAnsi="宋体" w:eastAsia="宋体" w:cs="宋体"/>
                <w:kern w:val="0"/>
                <w:sz w:val="21"/>
                <w:szCs w:val="21"/>
              </w:rPr>
              <w:t>水池水位正常</w:t>
            </w:r>
            <w:r>
              <w:rPr>
                <w:rFonts w:hint="eastAsia" w:ascii="宋体" w:hAnsi="宋体" w:eastAsia="宋体" w:cs="宋体"/>
                <w:kern w:val="0"/>
                <w:sz w:val="21"/>
                <w:szCs w:val="21"/>
              </w:rPr>
              <w:t>，管道、水箱</w:t>
            </w:r>
            <w:r>
              <w:rPr>
                <w:rFonts w:ascii="宋体" w:hAnsi="宋体" w:eastAsia="宋体" w:cs="宋体"/>
                <w:kern w:val="0"/>
                <w:sz w:val="21"/>
                <w:szCs w:val="21"/>
              </w:rPr>
              <w:t>无变形</w:t>
            </w:r>
            <w:r>
              <w:rPr>
                <w:rFonts w:hint="eastAsia" w:ascii="宋体" w:hAnsi="宋体" w:eastAsia="宋体" w:cs="宋体"/>
                <w:kern w:val="0"/>
                <w:sz w:val="21"/>
                <w:szCs w:val="21"/>
              </w:rPr>
              <w:t>、</w:t>
            </w:r>
            <w:r>
              <w:rPr>
                <w:rFonts w:ascii="宋体" w:hAnsi="宋体" w:eastAsia="宋体" w:cs="宋体"/>
                <w:kern w:val="0"/>
                <w:sz w:val="21"/>
                <w:szCs w:val="21"/>
              </w:rPr>
              <w:t>泄露</w:t>
            </w:r>
            <w:r>
              <w:rPr>
                <w:rFonts w:hint="eastAsia" w:ascii="宋体" w:hAnsi="宋体" w:eastAsia="宋体" w:cs="宋体"/>
                <w:kern w:val="0"/>
                <w:sz w:val="21"/>
                <w:szCs w:val="21"/>
              </w:rPr>
              <w:t>、</w:t>
            </w:r>
            <w:r>
              <w:rPr>
                <w:rFonts w:ascii="宋体" w:hAnsi="宋体" w:eastAsia="宋体" w:cs="宋体"/>
                <w:kern w:val="0"/>
                <w:sz w:val="21"/>
                <w:szCs w:val="21"/>
              </w:rPr>
              <w:t>破损等</w:t>
            </w:r>
            <w:r>
              <w:rPr>
                <w:rFonts w:hint="eastAsia" w:ascii="宋体" w:hAnsi="宋体" w:eastAsia="宋体" w:cs="宋体"/>
                <w:kern w:val="0"/>
                <w:sz w:val="21"/>
                <w:szCs w:val="21"/>
              </w:rPr>
              <w:t>。</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控制柜配电箱线缆</w:t>
            </w:r>
            <w:r>
              <w:rPr>
                <w:rFonts w:hint="eastAsia" w:cs="宋体" w:asciiTheme="minorEastAsia" w:hAnsiTheme="minorEastAsia" w:eastAsiaTheme="minorEastAsia"/>
                <w:kern w:val="0"/>
                <w:sz w:val="21"/>
                <w:szCs w:val="21"/>
                <w:lang w:bidi="ar"/>
              </w:rPr>
              <w:t>、</w:t>
            </w:r>
            <w:r>
              <w:rPr>
                <w:rFonts w:cs="宋体" w:asciiTheme="minorEastAsia" w:hAnsiTheme="minorEastAsia" w:eastAsiaTheme="minorEastAsia"/>
                <w:kern w:val="0"/>
                <w:sz w:val="21"/>
                <w:szCs w:val="21"/>
                <w:lang w:bidi="ar"/>
              </w:rPr>
              <w:t>接地连接正常</w:t>
            </w:r>
            <w:r>
              <w:rPr>
                <w:rFonts w:hint="eastAsia" w:cs="宋体" w:asciiTheme="minorEastAsia" w:hAnsiTheme="minorEastAsia" w:eastAsiaTheme="minorEastAsia"/>
                <w:kern w:val="0"/>
                <w:sz w:val="21"/>
                <w:szCs w:val="21"/>
                <w:lang w:bidi="ar"/>
              </w:rPr>
              <w:t>。</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作业工具配置齐全有效</w:t>
            </w:r>
            <w:r>
              <w:rPr>
                <w:rFonts w:hint="eastAsia" w:cs="宋体" w:asciiTheme="minorEastAsia" w:hAnsiTheme="minorEastAsia" w:eastAsiaTheme="minorEastAsia"/>
                <w:kern w:val="0"/>
                <w:sz w:val="21"/>
                <w:szCs w:val="21"/>
                <w:lang w:bidi="ar"/>
              </w:rPr>
              <w:t>。</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消防器材</w:t>
            </w:r>
            <w:r>
              <w:rPr>
                <w:rFonts w:hint="eastAsia" w:cs="宋体" w:asciiTheme="minorEastAsia" w:hAnsiTheme="minorEastAsia" w:eastAsiaTheme="minorEastAsia"/>
                <w:kern w:val="0"/>
                <w:sz w:val="21"/>
                <w:szCs w:val="21"/>
                <w:lang w:bidi="ar"/>
              </w:rPr>
              <w:t>、</w:t>
            </w:r>
            <w:r>
              <w:rPr>
                <w:rFonts w:cs="宋体" w:asciiTheme="minorEastAsia" w:hAnsiTheme="minorEastAsia" w:eastAsiaTheme="minorEastAsia"/>
                <w:kern w:val="0"/>
                <w:sz w:val="21"/>
                <w:szCs w:val="21"/>
                <w:lang w:bidi="ar"/>
              </w:rPr>
              <w:t>应急照明配置齐全有效</w:t>
            </w:r>
            <w:r>
              <w:rPr>
                <w:rFonts w:hint="eastAsia" w:cs="宋体" w:asciiTheme="minorEastAsia" w:hAnsiTheme="minorEastAsia" w:eastAsiaTheme="minorEastAsia"/>
                <w:kern w:val="0"/>
                <w:sz w:val="21"/>
                <w:szCs w:val="21"/>
                <w:lang w:bidi="ar"/>
              </w:rPr>
              <w:t>。</w:t>
            </w:r>
          </w:p>
          <w:p>
            <w:pPr>
              <w:pStyle w:val="56"/>
              <w:numPr>
                <w:ilvl w:val="0"/>
                <w:numId w:val="5"/>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其他</w:t>
            </w:r>
            <w:r>
              <w:rPr>
                <w:rFonts w:hint="eastAsia" w:cs="宋体" w:asciiTheme="minorEastAsia" w:hAnsiTheme="minorEastAsia" w:eastAsiaTheme="minorEastAsia"/>
                <w:kern w:val="0"/>
                <w:sz w:val="21"/>
                <w:szCs w:val="21"/>
                <w:lang w:bidi="ar"/>
              </w:rPr>
              <w:t>。</w:t>
            </w:r>
          </w:p>
        </w:tc>
        <w:tc>
          <w:tcPr>
            <w:tcW w:w="597" w:type="pct"/>
            <w:shd w:val="clear" w:color="auto" w:fill="auto"/>
            <w:tcMar>
              <w:top w:w="15" w:type="dxa"/>
              <w:left w:w="15" w:type="dxa"/>
              <w:right w:w="15" w:type="dxa"/>
            </w:tcMar>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97"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6"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460"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493"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r>
    </w:tbl>
    <w:p>
      <w:pPr>
        <w:widowControl w:val="0"/>
        <w:spacing w:after="0" w:line="560" w:lineRule="exact"/>
        <w:ind w:left="0" w:firstLine="412" w:firstLineChars="200"/>
        <w:jc w:val="center"/>
        <w:rPr>
          <w:rFonts w:cs="Calibri" w:asciiTheme="minorEastAsia" w:hAnsiTheme="minorEastAsia" w:eastAsiaTheme="minorEastAsia"/>
          <w:b/>
          <w:sz w:val="21"/>
          <w:szCs w:val="24"/>
        </w:rPr>
      </w:pPr>
      <w:r>
        <w:rPr>
          <w:rFonts w:cs="Calibri" w:asciiTheme="minorEastAsia" w:hAnsiTheme="minorEastAsia" w:eastAsiaTheme="minorEastAsia"/>
          <w:b/>
          <w:sz w:val="21"/>
          <w:szCs w:val="24"/>
        </w:rPr>
        <w:br w:type="page"/>
      </w:r>
      <w:r>
        <w:rPr>
          <w:rFonts w:hint="eastAsia" w:cs="Calibri" w:asciiTheme="minorEastAsia" w:hAnsiTheme="minorEastAsia" w:eastAsiaTheme="minorEastAsia"/>
          <w:b/>
          <w:sz w:val="21"/>
          <w:szCs w:val="24"/>
        </w:rPr>
        <w:t>表3-</w:t>
      </w:r>
      <w:r>
        <w:rPr>
          <w:rFonts w:cs="Calibri" w:asciiTheme="minorEastAsia" w:hAnsiTheme="minorEastAsia" w:eastAsiaTheme="minorEastAsia"/>
          <w:b/>
          <w:sz w:val="21"/>
          <w:szCs w:val="24"/>
        </w:rPr>
        <w:t>6</w:t>
      </w:r>
      <w:r>
        <w:rPr>
          <w:rFonts w:hint="eastAsia" w:cs="Calibri" w:asciiTheme="minorEastAsia" w:hAnsiTheme="minorEastAsia" w:eastAsiaTheme="minorEastAsia"/>
          <w:b/>
          <w:sz w:val="21"/>
          <w:szCs w:val="24"/>
        </w:rPr>
        <w:t>配电室隐患排查记录表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933"/>
        <w:gridCol w:w="1756"/>
        <w:gridCol w:w="1756"/>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tcBorders>
              <w:bottom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sz w:val="21"/>
                <w:szCs w:val="21"/>
              </w:rPr>
            </w:pPr>
            <w:r>
              <w:rPr>
                <w:rFonts w:hint="eastAsia" w:asciiTheme="majorEastAsia" w:hAnsiTheme="majorEastAsia" w:eastAsiaTheme="majorEastAsia"/>
                <w:b/>
                <w:sz w:val="21"/>
                <w:szCs w:val="21"/>
              </w:rPr>
              <w:t>排查日期：</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r>
              <w:rPr>
                <w:rFonts w:hint="eastAsia" w:asciiTheme="majorEastAsia" w:hAnsiTheme="majorEastAsia" w:eastAsiaTheme="majorEastAsia"/>
                <w:b/>
                <w:sz w:val="21"/>
                <w:szCs w:val="21"/>
              </w:rPr>
              <w:t xml:space="preserve"> ——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p>
        </w:tc>
        <w:tc>
          <w:tcPr>
            <w:tcW w:w="3663" w:type="pct"/>
            <w:gridSpan w:val="7"/>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tcBorders>
              <w:top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隐患排查内容</w:t>
            </w:r>
          </w:p>
        </w:tc>
        <w:tc>
          <w:tcPr>
            <w:tcW w:w="597" w:type="pct"/>
            <w:tcBorders>
              <w:top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周一</w:t>
            </w:r>
          </w:p>
        </w:tc>
        <w:tc>
          <w:tcPr>
            <w:tcW w:w="597"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周二</w:t>
            </w:r>
          </w:p>
        </w:tc>
        <w:tc>
          <w:tcPr>
            <w:tcW w:w="506"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周三</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周四</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周五</w:t>
            </w:r>
          </w:p>
        </w:tc>
        <w:tc>
          <w:tcPr>
            <w:tcW w:w="460"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周六</w:t>
            </w:r>
          </w:p>
        </w:tc>
        <w:tc>
          <w:tcPr>
            <w:tcW w:w="493"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门窗及孔洞关闭严密，室内无杂物、虫鼠踪迹、私拉乱接等。</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室内</w:t>
            </w:r>
            <w:r>
              <w:rPr>
                <w:rFonts w:hint="eastAsia" w:cs="宋体" w:asciiTheme="minorEastAsia" w:hAnsiTheme="minorEastAsia" w:eastAsiaTheme="minorEastAsia"/>
                <w:kern w:val="0"/>
                <w:sz w:val="21"/>
                <w:szCs w:val="21"/>
                <w:lang w:bidi="ar"/>
              </w:rPr>
              <w:t>环境良好，温湿度正常。</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ascii="宋体" w:hAnsi="宋体" w:eastAsia="宋体" w:cs="宋体"/>
                <w:kern w:val="0"/>
                <w:sz w:val="21"/>
                <w:szCs w:val="21"/>
              </w:rPr>
              <w:t>设备及断路器无异响、异味、过热。</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ascii="宋体" w:hAnsi="宋体" w:eastAsia="宋体" w:cs="宋体"/>
                <w:kern w:val="0"/>
                <w:sz w:val="21"/>
                <w:szCs w:val="21"/>
              </w:rPr>
              <w:t>设备运转正常，无异常报警。</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ascii="宋体" w:hAnsi="宋体" w:eastAsia="宋体" w:cs="宋体"/>
                <w:kern w:val="0"/>
                <w:sz w:val="21"/>
                <w:szCs w:val="21"/>
              </w:rPr>
              <w:t>电压</w:t>
            </w:r>
            <w:r>
              <w:rPr>
                <w:rFonts w:hint="eastAsia" w:ascii="宋体" w:hAnsi="宋体" w:eastAsia="宋体" w:cs="宋体"/>
                <w:kern w:val="0"/>
                <w:sz w:val="21"/>
                <w:szCs w:val="21"/>
              </w:rPr>
              <w:t>、</w:t>
            </w:r>
            <w:r>
              <w:rPr>
                <w:rFonts w:ascii="宋体" w:hAnsi="宋体" w:eastAsia="宋体" w:cs="宋体"/>
                <w:kern w:val="0"/>
                <w:sz w:val="21"/>
                <w:szCs w:val="21"/>
              </w:rPr>
              <w:t>电流及</w:t>
            </w:r>
            <w:r>
              <w:rPr>
                <w:rFonts w:hint="eastAsia" w:ascii="宋体" w:hAnsi="宋体" w:eastAsia="宋体" w:cs="宋体"/>
                <w:kern w:val="0"/>
                <w:sz w:val="21"/>
                <w:szCs w:val="21"/>
              </w:rPr>
              <w:t>指示灯显示正确。</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ascii="宋体" w:hAnsi="宋体" w:eastAsia="宋体" w:cs="宋体"/>
                <w:kern w:val="0"/>
                <w:sz w:val="21"/>
                <w:szCs w:val="21"/>
              </w:rPr>
              <w:t>挡鼠板、粘鼠板、鼠药、纱窗齐全。</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ascii="宋体" w:hAnsi="宋体" w:eastAsia="宋体" w:cs="宋体"/>
                <w:kern w:val="0"/>
                <w:sz w:val="21"/>
                <w:szCs w:val="21"/>
              </w:rPr>
              <w:t>设备运转正常</w:t>
            </w:r>
            <w:r>
              <w:rPr>
                <w:rFonts w:hint="eastAsia" w:ascii="宋体" w:hAnsi="宋体" w:eastAsia="宋体" w:cs="宋体"/>
                <w:kern w:val="0"/>
                <w:sz w:val="21"/>
                <w:szCs w:val="21"/>
              </w:rPr>
              <w:t>，</w:t>
            </w:r>
            <w:r>
              <w:rPr>
                <w:rFonts w:ascii="宋体" w:hAnsi="宋体" w:eastAsia="宋体" w:cs="宋体"/>
                <w:kern w:val="0"/>
                <w:sz w:val="21"/>
                <w:szCs w:val="21"/>
              </w:rPr>
              <w:t>无异响</w:t>
            </w:r>
            <w:r>
              <w:rPr>
                <w:rFonts w:hint="eastAsia" w:ascii="宋体" w:hAnsi="宋体" w:eastAsia="宋体" w:cs="宋体"/>
                <w:kern w:val="0"/>
                <w:sz w:val="21"/>
                <w:szCs w:val="21"/>
              </w:rPr>
              <w:t>、</w:t>
            </w:r>
            <w:r>
              <w:rPr>
                <w:rFonts w:ascii="宋体" w:hAnsi="宋体" w:eastAsia="宋体" w:cs="宋体"/>
                <w:kern w:val="0"/>
                <w:sz w:val="21"/>
                <w:szCs w:val="21"/>
              </w:rPr>
              <w:t>震颤</w:t>
            </w:r>
            <w:r>
              <w:rPr>
                <w:rFonts w:hint="eastAsia" w:ascii="宋体" w:hAnsi="宋体" w:eastAsia="宋体" w:cs="宋体"/>
                <w:kern w:val="0"/>
                <w:sz w:val="21"/>
                <w:szCs w:val="21"/>
              </w:rPr>
              <w:t>、</w:t>
            </w:r>
            <w:r>
              <w:rPr>
                <w:rFonts w:ascii="宋体" w:hAnsi="宋体" w:eastAsia="宋体" w:cs="宋体"/>
                <w:kern w:val="0"/>
                <w:sz w:val="21"/>
                <w:szCs w:val="21"/>
              </w:rPr>
              <w:t>异味等</w:t>
            </w:r>
            <w:r>
              <w:rPr>
                <w:rFonts w:hint="eastAsia" w:ascii="宋体" w:hAnsi="宋体" w:eastAsia="宋体" w:cs="宋体"/>
                <w:kern w:val="0"/>
                <w:sz w:val="21"/>
                <w:szCs w:val="21"/>
              </w:rPr>
              <w:t>。</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配电箱线缆</w:t>
            </w:r>
            <w:r>
              <w:rPr>
                <w:rFonts w:hint="eastAsia" w:cs="宋体" w:asciiTheme="minorEastAsia" w:hAnsiTheme="minorEastAsia" w:eastAsiaTheme="minorEastAsia"/>
                <w:kern w:val="0"/>
                <w:sz w:val="21"/>
                <w:szCs w:val="21"/>
                <w:lang w:bidi="ar"/>
              </w:rPr>
              <w:t>、</w:t>
            </w:r>
            <w:r>
              <w:rPr>
                <w:rFonts w:cs="宋体" w:asciiTheme="minorEastAsia" w:hAnsiTheme="minorEastAsia" w:eastAsiaTheme="minorEastAsia"/>
                <w:kern w:val="0"/>
                <w:sz w:val="21"/>
                <w:szCs w:val="21"/>
                <w:lang w:bidi="ar"/>
              </w:rPr>
              <w:t>接地连接正常</w:t>
            </w:r>
            <w:r>
              <w:rPr>
                <w:rFonts w:hint="eastAsia" w:cs="宋体" w:asciiTheme="minorEastAsia" w:hAnsiTheme="minorEastAsia" w:eastAsiaTheme="minorEastAsia"/>
                <w:kern w:val="0"/>
                <w:sz w:val="21"/>
                <w:szCs w:val="21"/>
                <w:lang w:bidi="ar"/>
              </w:rPr>
              <w:t>。</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作业工具配置齐全有效</w:t>
            </w:r>
            <w:r>
              <w:rPr>
                <w:rFonts w:hint="eastAsia" w:cs="宋体" w:asciiTheme="minorEastAsia" w:hAnsiTheme="minorEastAsia" w:eastAsiaTheme="minorEastAsia"/>
                <w:kern w:val="0"/>
                <w:sz w:val="21"/>
                <w:szCs w:val="21"/>
                <w:lang w:bidi="ar"/>
              </w:rPr>
              <w:t>。</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消防器材</w:t>
            </w:r>
            <w:r>
              <w:rPr>
                <w:rFonts w:hint="eastAsia" w:cs="宋体" w:asciiTheme="minorEastAsia" w:hAnsiTheme="minorEastAsia" w:eastAsiaTheme="minorEastAsia"/>
                <w:kern w:val="0"/>
                <w:sz w:val="21"/>
                <w:szCs w:val="21"/>
                <w:lang w:bidi="ar"/>
              </w:rPr>
              <w:t>、</w:t>
            </w:r>
            <w:r>
              <w:rPr>
                <w:rFonts w:cs="宋体" w:asciiTheme="minorEastAsia" w:hAnsiTheme="minorEastAsia" w:eastAsiaTheme="minorEastAsia"/>
                <w:kern w:val="0"/>
                <w:sz w:val="21"/>
                <w:szCs w:val="21"/>
                <w:lang w:bidi="ar"/>
              </w:rPr>
              <w:t>应急照明配置齐全有效</w:t>
            </w:r>
            <w:r>
              <w:rPr>
                <w:rFonts w:hint="eastAsia" w:cs="宋体" w:asciiTheme="minorEastAsia" w:hAnsiTheme="minorEastAsia" w:eastAsiaTheme="minorEastAsia"/>
                <w:kern w:val="0"/>
                <w:sz w:val="21"/>
                <w:szCs w:val="21"/>
                <w:lang w:bidi="ar"/>
              </w:rPr>
              <w:t>。</w:t>
            </w:r>
          </w:p>
          <w:p>
            <w:pPr>
              <w:pStyle w:val="56"/>
              <w:numPr>
                <w:ilvl w:val="0"/>
                <w:numId w:val="6"/>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其他</w:t>
            </w:r>
            <w:r>
              <w:rPr>
                <w:rFonts w:hint="eastAsia" w:cs="宋体" w:asciiTheme="minorEastAsia" w:hAnsiTheme="minorEastAsia" w:eastAsiaTheme="minorEastAsia"/>
                <w:kern w:val="0"/>
                <w:sz w:val="21"/>
                <w:szCs w:val="21"/>
                <w:lang w:bidi="ar"/>
              </w:rPr>
              <w:t>。</w:t>
            </w:r>
          </w:p>
        </w:tc>
        <w:tc>
          <w:tcPr>
            <w:tcW w:w="597" w:type="pct"/>
            <w:shd w:val="clear" w:color="auto" w:fill="auto"/>
            <w:tcMar>
              <w:top w:w="15" w:type="dxa"/>
              <w:left w:w="15" w:type="dxa"/>
              <w:right w:w="15" w:type="dxa"/>
            </w:tcMar>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tc>
        <w:tc>
          <w:tcPr>
            <w:tcW w:w="597"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tc>
        <w:tc>
          <w:tcPr>
            <w:tcW w:w="506"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tc>
        <w:tc>
          <w:tcPr>
            <w:tcW w:w="460"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tc>
        <w:tc>
          <w:tcPr>
            <w:tcW w:w="493"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tc>
      </w:tr>
    </w:tbl>
    <w:p>
      <w:pPr>
        <w:spacing w:after="0" w:line="240" w:lineRule="auto"/>
        <w:ind w:left="0" w:firstLine="0"/>
        <w:rPr>
          <w:rFonts w:cs="Calibri" w:asciiTheme="minorEastAsia" w:hAnsiTheme="minorEastAsia" w:eastAsiaTheme="minorEastAsia"/>
          <w:b/>
          <w:sz w:val="21"/>
          <w:szCs w:val="24"/>
        </w:rPr>
      </w:pPr>
      <w:r>
        <w:rPr>
          <w:rFonts w:cs="Calibri" w:asciiTheme="minorEastAsia" w:hAnsiTheme="minorEastAsia" w:eastAsiaTheme="minorEastAsia"/>
          <w:b/>
          <w:sz w:val="21"/>
          <w:szCs w:val="24"/>
        </w:rPr>
        <w:br w:type="page"/>
      </w:r>
    </w:p>
    <w:p>
      <w:pPr>
        <w:widowControl w:val="0"/>
        <w:spacing w:after="0" w:line="560" w:lineRule="exact"/>
        <w:ind w:left="0" w:firstLine="412" w:firstLineChars="200"/>
        <w:jc w:val="center"/>
        <w:rPr>
          <w:rFonts w:cs="Calibri" w:asciiTheme="minorEastAsia" w:hAnsiTheme="minorEastAsia" w:eastAsiaTheme="minorEastAsia"/>
          <w:b/>
          <w:sz w:val="21"/>
          <w:szCs w:val="24"/>
        </w:rPr>
      </w:pPr>
      <w:r>
        <w:rPr>
          <w:rFonts w:hint="eastAsia" w:cs="Calibri" w:asciiTheme="minorEastAsia" w:hAnsiTheme="minorEastAsia" w:eastAsiaTheme="minorEastAsia"/>
          <w:b/>
          <w:sz w:val="21"/>
          <w:szCs w:val="24"/>
        </w:rPr>
        <w:t>表3-</w:t>
      </w:r>
      <w:r>
        <w:rPr>
          <w:rFonts w:cs="Calibri" w:asciiTheme="minorEastAsia" w:hAnsiTheme="minorEastAsia" w:eastAsiaTheme="minorEastAsia"/>
          <w:b/>
          <w:sz w:val="21"/>
          <w:szCs w:val="24"/>
        </w:rPr>
        <w:t>7</w:t>
      </w:r>
      <w:r>
        <w:rPr>
          <w:rFonts w:hint="eastAsia" w:cs="Calibri" w:asciiTheme="minorEastAsia" w:hAnsiTheme="minorEastAsia" w:eastAsiaTheme="minorEastAsia"/>
          <w:b/>
          <w:sz w:val="21"/>
          <w:szCs w:val="24"/>
        </w:rPr>
        <w:t>食堂隐患排查记录表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059"/>
        <w:gridCol w:w="1777"/>
        <w:gridCol w:w="1609"/>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tcBorders>
              <w:bottom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sz w:val="21"/>
                <w:szCs w:val="21"/>
              </w:rPr>
            </w:pPr>
            <w:r>
              <w:rPr>
                <w:rFonts w:hint="eastAsia" w:asciiTheme="majorEastAsia" w:hAnsiTheme="majorEastAsia" w:eastAsiaTheme="majorEastAsia"/>
                <w:b/>
                <w:sz w:val="21"/>
                <w:szCs w:val="21"/>
              </w:rPr>
              <w:t>排查日期：</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r>
              <w:rPr>
                <w:rFonts w:hint="eastAsia" w:asciiTheme="majorEastAsia" w:hAnsiTheme="majorEastAsia" w:eastAsiaTheme="majorEastAsia"/>
                <w:b/>
                <w:sz w:val="21"/>
                <w:szCs w:val="21"/>
              </w:rPr>
              <w:t xml:space="preserve"> ——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p>
        </w:tc>
        <w:tc>
          <w:tcPr>
            <w:tcW w:w="3620" w:type="pct"/>
            <w:gridSpan w:val="7"/>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tcBorders>
              <w:top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隐患排查内容</w:t>
            </w:r>
          </w:p>
        </w:tc>
        <w:tc>
          <w:tcPr>
            <w:tcW w:w="604" w:type="pct"/>
            <w:tcBorders>
              <w:top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周一</w:t>
            </w:r>
          </w:p>
        </w:tc>
        <w:tc>
          <w:tcPr>
            <w:tcW w:w="547"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周二</w:t>
            </w:r>
          </w:p>
        </w:tc>
        <w:tc>
          <w:tcPr>
            <w:tcW w:w="506"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周三</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周四</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周五</w:t>
            </w:r>
          </w:p>
        </w:tc>
        <w:tc>
          <w:tcPr>
            <w:tcW w:w="460"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周六</w:t>
            </w:r>
          </w:p>
        </w:tc>
        <w:tc>
          <w:tcPr>
            <w:tcW w:w="493"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shd w:val="clear" w:color="auto" w:fill="auto"/>
            <w:tcMar>
              <w:top w:w="15" w:type="dxa"/>
              <w:left w:w="15" w:type="dxa"/>
              <w:right w:w="15" w:type="dxa"/>
            </w:tcMar>
            <w:vAlign w:val="center"/>
          </w:tcPr>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后厨、操作台及餐厅环境整洁，干净整洁、无油垢。</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餐具应按时清洁，定期消毒，防鼠防疫措施有效。</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冷藏柜、消毒柜、食品留样柜完好。</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设备及食品原材料分类储存，放置稳固。</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食用油、酒精单独存放，远离火源。</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食品原材料正规渠道定点采购，无过期食品。</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厨房电气设备及线路无老化、裸露，故障、过热、泡浸、压砸等现象。</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刀具、高温设备位置正确、放置稳固。</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灭火器、灭火毯配置齐全有效。</w:t>
            </w:r>
          </w:p>
          <w:p>
            <w:pPr>
              <w:pStyle w:val="56"/>
              <w:numPr>
                <w:ilvl w:val="0"/>
                <w:numId w:val="7"/>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其他</w:t>
            </w:r>
            <w:r>
              <w:rPr>
                <w:rFonts w:hint="eastAsia" w:cs="宋体" w:asciiTheme="minorEastAsia" w:hAnsiTheme="minorEastAsia" w:eastAsiaTheme="minorEastAsia"/>
                <w:kern w:val="0"/>
                <w:sz w:val="21"/>
                <w:szCs w:val="21"/>
                <w:lang w:bidi="ar"/>
              </w:rPr>
              <w:t>。</w:t>
            </w:r>
          </w:p>
        </w:tc>
        <w:tc>
          <w:tcPr>
            <w:tcW w:w="604" w:type="pct"/>
            <w:shd w:val="clear" w:color="auto" w:fill="auto"/>
            <w:tcMar>
              <w:top w:w="15" w:type="dxa"/>
              <w:left w:w="15" w:type="dxa"/>
              <w:right w:w="15" w:type="dxa"/>
            </w:tcMar>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47"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6"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460"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493"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r>
    </w:tbl>
    <w:p>
      <w:pPr>
        <w:widowControl w:val="0"/>
        <w:spacing w:after="0" w:line="560" w:lineRule="exact"/>
        <w:ind w:left="0" w:firstLine="412" w:firstLineChars="200"/>
        <w:jc w:val="center"/>
        <w:rPr>
          <w:rFonts w:cs="Calibri" w:asciiTheme="minorEastAsia" w:hAnsiTheme="minorEastAsia" w:eastAsiaTheme="minorEastAsia"/>
          <w:b/>
          <w:sz w:val="21"/>
          <w:szCs w:val="24"/>
        </w:rPr>
      </w:pPr>
    </w:p>
    <w:p>
      <w:pPr>
        <w:spacing w:after="0" w:line="240" w:lineRule="auto"/>
        <w:ind w:left="0" w:firstLine="0"/>
        <w:rPr>
          <w:rFonts w:cs="Calibri" w:asciiTheme="minorEastAsia" w:hAnsiTheme="minorEastAsia" w:eastAsiaTheme="minorEastAsia"/>
          <w:b/>
          <w:sz w:val="21"/>
          <w:szCs w:val="24"/>
        </w:rPr>
      </w:pPr>
      <w:r>
        <w:rPr>
          <w:rFonts w:cs="Calibri" w:asciiTheme="minorEastAsia" w:hAnsiTheme="minorEastAsia" w:eastAsiaTheme="minorEastAsia"/>
          <w:b/>
          <w:sz w:val="21"/>
          <w:szCs w:val="24"/>
        </w:rPr>
        <w:br w:type="page"/>
      </w:r>
    </w:p>
    <w:p>
      <w:pPr>
        <w:widowControl w:val="0"/>
        <w:spacing w:after="0" w:line="560" w:lineRule="exact"/>
        <w:ind w:left="0" w:firstLine="412" w:firstLineChars="200"/>
        <w:jc w:val="center"/>
        <w:rPr>
          <w:rFonts w:cs="Calibri" w:asciiTheme="minorEastAsia" w:hAnsiTheme="minorEastAsia" w:eastAsiaTheme="minorEastAsia"/>
          <w:b/>
          <w:sz w:val="21"/>
          <w:szCs w:val="24"/>
        </w:rPr>
      </w:pPr>
      <w:r>
        <w:rPr>
          <w:rFonts w:hint="eastAsia" w:cs="Calibri" w:asciiTheme="minorEastAsia" w:hAnsiTheme="minorEastAsia" w:eastAsiaTheme="minorEastAsia"/>
          <w:b/>
          <w:sz w:val="21"/>
          <w:szCs w:val="24"/>
        </w:rPr>
        <w:t>表3-</w:t>
      </w:r>
      <w:r>
        <w:rPr>
          <w:rFonts w:cs="Calibri" w:asciiTheme="minorEastAsia" w:hAnsiTheme="minorEastAsia" w:eastAsiaTheme="minorEastAsia"/>
          <w:b/>
          <w:sz w:val="21"/>
          <w:szCs w:val="24"/>
        </w:rPr>
        <w:t>8</w:t>
      </w:r>
      <w:r>
        <w:rPr>
          <w:rFonts w:hint="eastAsia" w:cs="Calibri" w:asciiTheme="minorEastAsia" w:hAnsiTheme="minorEastAsia" w:eastAsiaTheme="minorEastAsia"/>
          <w:b/>
          <w:sz w:val="21"/>
          <w:szCs w:val="24"/>
        </w:rPr>
        <w:t>设备物资库房隐患排查记录表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059"/>
        <w:gridCol w:w="1777"/>
        <w:gridCol w:w="1609"/>
        <w:gridCol w:w="1488"/>
        <w:gridCol w:w="1486"/>
        <w:gridCol w:w="1486"/>
        <w:gridCol w:w="1353"/>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tcBorders>
              <w:bottom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sz w:val="21"/>
                <w:szCs w:val="21"/>
              </w:rPr>
            </w:pPr>
            <w:r>
              <w:rPr>
                <w:rFonts w:hint="eastAsia" w:asciiTheme="majorEastAsia" w:hAnsiTheme="majorEastAsia" w:eastAsiaTheme="majorEastAsia"/>
                <w:b/>
                <w:sz w:val="21"/>
                <w:szCs w:val="21"/>
              </w:rPr>
              <w:t>排查日期：</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r>
              <w:rPr>
                <w:rFonts w:hint="eastAsia" w:asciiTheme="majorEastAsia" w:hAnsiTheme="majorEastAsia" w:eastAsiaTheme="majorEastAsia"/>
                <w:b/>
                <w:sz w:val="21"/>
                <w:szCs w:val="21"/>
              </w:rPr>
              <w:t xml:space="preserve"> ——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月</w:t>
            </w:r>
            <w:r>
              <w:rPr>
                <w:rFonts w:hint="eastAsia" w:asciiTheme="majorEastAsia" w:hAnsiTheme="majorEastAsia" w:eastAsiaTheme="majorEastAsia"/>
                <w:b/>
                <w:sz w:val="21"/>
                <w:szCs w:val="21"/>
                <w:u w:val="single"/>
              </w:rPr>
              <w:t xml:space="preserve"> </w:t>
            </w:r>
            <w:r>
              <w:rPr>
                <w:rFonts w:asciiTheme="majorEastAsia" w:hAnsiTheme="majorEastAsia" w:eastAsiaTheme="majorEastAsia"/>
                <w:b/>
                <w:sz w:val="21"/>
                <w:szCs w:val="21"/>
                <w:u w:val="single"/>
              </w:rPr>
              <w:t xml:space="preserve">  </w:t>
            </w:r>
            <w:r>
              <w:rPr>
                <w:rFonts w:asciiTheme="majorEastAsia" w:hAnsiTheme="majorEastAsia" w:eastAsiaTheme="majorEastAsia"/>
                <w:b/>
                <w:sz w:val="21"/>
                <w:szCs w:val="21"/>
              </w:rPr>
              <w:t>日</w:t>
            </w:r>
          </w:p>
        </w:tc>
        <w:tc>
          <w:tcPr>
            <w:tcW w:w="3620" w:type="pct"/>
            <w:gridSpan w:val="7"/>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tcBorders>
              <w:top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隐患排查内容</w:t>
            </w:r>
          </w:p>
        </w:tc>
        <w:tc>
          <w:tcPr>
            <w:tcW w:w="604" w:type="pct"/>
            <w:tcBorders>
              <w:top w:val="single" w:color="auto" w:sz="4" w:space="0"/>
            </w:tcBorders>
            <w:shd w:val="clear" w:color="auto" w:fill="F1F1F1" w:themeFill="background1" w:themeFillShade="F2"/>
            <w:tcMar>
              <w:top w:w="15" w:type="dxa"/>
              <w:left w:w="15" w:type="dxa"/>
              <w:right w:w="15" w:type="dxa"/>
            </w:tcMar>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周一</w:t>
            </w:r>
          </w:p>
        </w:tc>
        <w:tc>
          <w:tcPr>
            <w:tcW w:w="547"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周二</w:t>
            </w:r>
          </w:p>
        </w:tc>
        <w:tc>
          <w:tcPr>
            <w:tcW w:w="506"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周三</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周四</w:t>
            </w:r>
          </w:p>
        </w:tc>
        <w:tc>
          <w:tcPr>
            <w:tcW w:w="505"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周五</w:t>
            </w:r>
          </w:p>
        </w:tc>
        <w:tc>
          <w:tcPr>
            <w:tcW w:w="460"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周六</w:t>
            </w:r>
          </w:p>
        </w:tc>
        <w:tc>
          <w:tcPr>
            <w:tcW w:w="493" w:type="pct"/>
            <w:shd w:val="clear" w:color="auto" w:fill="F1F1F1" w:themeFill="background1" w:themeFillShade="F2"/>
            <w:vAlign w:val="center"/>
          </w:tcPr>
          <w:p>
            <w:pPr>
              <w:spacing w:before="116" w:beforeLines="20" w:after="116" w:afterLines="20" w:line="320" w:lineRule="exact"/>
              <w:ind w:left="128" w:leftChars="50" w:right="118" w:rightChars="50"/>
              <w:jc w:val="center"/>
              <w:textAlignment w:val="center"/>
              <w:rPr>
                <w:rFonts w:cs="宋体" w:asciiTheme="minorEastAsia" w:hAnsiTheme="minorEastAsia" w:eastAsiaTheme="minorEastAsia"/>
                <w:b/>
                <w:kern w:val="0"/>
                <w:sz w:val="21"/>
                <w:szCs w:val="21"/>
                <w:lang w:bidi="ar"/>
              </w:rPr>
            </w:pPr>
            <w:r>
              <w:rPr>
                <w:rFonts w:hint="eastAsia" w:cs="宋体" w:asciiTheme="minorEastAsia" w:hAnsiTheme="minorEastAsia" w:eastAsiaTheme="minorEastAsia"/>
                <w:b/>
                <w:kern w:val="0"/>
                <w:sz w:val="21"/>
                <w:szCs w:val="21"/>
                <w:lang w:bidi="ar"/>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80" w:type="pct"/>
            <w:shd w:val="clear" w:color="auto" w:fill="auto"/>
            <w:tcMar>
              <w:top w:w="15" w:type="dxa"/>
              <w:left w:w="15" w:type="dxa"/>
              <w:right w:w="15" w:type="dxa"/>
            </w:tcMar>
            <w:vAlign w:val="center"/>
          </w:tcPr>
          <w:p>
            <w:pPr>
              <w:pStyle w:val="56"/>
              <w:numPr>
                <w:ilvl w:val="0"/>
                <w:numId w:val="8"/>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库房门窗锁使用正常</w:t>
            </w:r>
            <w:r>
              <w:rPr>
                <w:rFonts w:hint="eastAsia" w:cs="宋体" w:asciiTheme="minorEastAsia" w:hAnsiTheme="minorEastAsia" w:eastAsiaTheme="minorEastAsia"/>
                <w:kern w:val="0"/>
                <w:sz w:val="21"/>
                <w:szCs w:val="21"/>
                <w:lang w:bidi="ar"/>
              </w:rPr>
              <w:t>，</w:t>
            </w:r>
            <w:r>
              <w:rPr>
                <w:rFonts w:cs="宋体" w:asciiTheme="minorEastAsia" w:hAnsiTheme="minorEastAsia" w:eastAsiaTheme="minorEastAsia"/>
                <w:kern w:val="0"/>
                <w:sz w:val="21"/>
                <w:szCs w:val="21"/>
                <w:lang w:bidi="ar"/>
              </w:rPr>
              <w:t>各类警示标志无缺损</w:t>
            </w:r>
            <w:r>
              <w:rPr>
                <w:rFonts w:hint="eastAsia" w:cs="宋体" w:asciiTheme="minorEastAsia" w:hAnsiTheme="minorEastAsia" w:eastAsiaTheme="minorEastAsia"/>
                <w:kern w:val="0"/>
                <w:sz w:val="21"/>
                <w:szCs w:val="21"/>
                <w:lang w:bidi="ar"/>
              </w:rPr>
              <w:t>。</w:t>
            </w:r>
          </w:p>
          <w:p>
            <w:pPr>
              <w:pStyle w:val="56"/>
              <w:numPr>
                <w:ilvl w:val="0"/>
                <w:numId w:val="8"/>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库房内无异味</w:t>
            </w:r>
            <w:r>
              <w:rPr>
                <w:rFonts w:hint="eastAsia" w:cs="宋体" w:asciiTheme="minorEastAsia" w:hAnsiTheme="minorEastAsia" w:eastAsiaTheme="minorEastAsia"/>
                <w:kern w:val="0"/>
                <w:sz w:val="21"/>
                <w:szCs w:val="21"/>
                <w:lang w:bidi="ar"/>
              </w:rPr>
              <w:t>、</w:t>
            </w:r>
            <w:r>
              <w:rPr>
                <w:rFonts w:cs="宋体" w:asciiTheme="minorEastAsia" w:hAnsiTheme="minorEastAsia" w:eastAsiaTheme="minorEastAsia"/>
                <w:kern w:val="0"/>
                <w:sz w:val="21"/>
                <w:szCs w:val="21"/>
                <w:lang w:bidi="ar"/>
              </w:rPr>
              <w:t>杂物</w:t>
            </w:r>
            <w:r>
              <w:rPr>
                <w:rFonts w:hint="eastAsia" w:cs="宋体" w:asciiTheme="minorEastAsia" w:hAnsiTheme="minorEastAsia" w:eastAsiaTheme="minorEastAsia"/>
                <w:kern w:val="0"/>
                <w:sz w:val="21"/>
                <w:szCs w:val="21"/>
                <w:lang w:bidi="ar"/>
              </w:rPr>
              <w:t>、</w:t>
            </w:r>
            <w:r>
              <w:rPr>
                <w:rFonts w:cs="宋体" w:asciiTheme="minorEastAsia" w:hAnsiTheme="minorEastAsia" w:eastAsiaTheme="minorEastAsia"/>
                <w:kern w:val="0"/>
                <w:sz w:val="21"/>
                <w:szCs w:val="21"/>
                <w:lang w:bidi="ar"/>
              </w:rPr>
              <w:t>渗漏</w:t>
            </w:r>
            <w:r>
              <w:rPr>
                <w:rFonts w:hint="eastAsia" w:cs="宋体" w:asciiTheme="minorEastAsia" w:hAnsiTheme="minorEastAsia" w:eastAsiaTheme="minorEastAsia"/>
                <w:kern w:val="0"/>
                <w:sz w:val="21"/>
                <w:szCs w:val="21"/>
                <w:lang w:bidi="ar"/>
              </w:rPr>
              <w:t>。</w:t>
            </w:r>
          </w:p>
          <w:p>
            <w:pPr>
              <w:pStyle w:val="56"/>
              <w:numPr>
                <w:ilvl w:val="0"/>
                <w:numId w:val="8"/>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设备物资定置管理、堆放整齐稳固，无超高、悬空等现象。</w:t>
            </w:r>
          </w:p>
          <w:p>
            <w:pPr>
              <w:pStyle w:val="56"/>
              <w:numPr>
                <w:ilvl w:val="0"/>
                <w:numId w:val="8"/>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气瓶、气罐、油漆等易燃易爆物品单独存放。</w:t>
            </w:r>
          </w:p>
          <w:p>
            <w:pPr>
              <w:pStyle w:val="56"/>
              <w:numPr>
                <w:ilvl w:val="0"/>
                <w:numId w:val="8"/>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照明、灯具、线路正常，无老化、破损等现象。</w:t>
            </w:r>
          </w:p>
          <w:p>
            <w:pPr>
              <w:pStyle w:val="56"/>
              <w:numPr>
                <w:ilvl w:val="0"/>
                <w:numId w:val="8"/>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hint="eastAsia" w:cs="宋体" w:asciiTheme="minorEastAsia" w:hAnsiTheme="minorEastAsia" w:eastAsiaTheme="minorEastAsia"/>
                <w:kern w:val="0"/>
                <w:sz w:val="21"/>
                <w:szCs w:val="21"/>
                <w:lang w:bidi="ar"/>
              </w:rPr>
              <w:t>消防器材齐全、通道畅通。</w:t>
            </w:r>
          </w:p>
          <w:p>
            <w:pPr>
              <w:pStyle w:val="56"/>
              <w:numPr>
                <w:ilvl w:val="0"/>
                <w:numId w:val="8"/>
              </w:numPr>
              <w:spacing w:before="116" w:beforeLines="20" w:after="116" w:afterLines="20" w:line="320" w:lineRule="exact"/>
              <w:ind w:right="118" w:rightChars="50" w:firstLineChars="0"/>
              <w:textAlignment w:val="center"/>
              <w:rPr>
                <w:rFonts w:cs="宋体" w:asciiTheme="minorEastAsia" w:hAnsiTheme="minorEastAsia" w:eastAsiaTheme="minorEastAsia"/>
                <w:kern w:val="0"/>
                <w:sz w:val="21"/>
                <w:szCs w:val="21"/>
                <w:lang w:bidi="ar"/>
              </w:rPr>
            </w:pPr>
            <w:r>
              <w:rPr>
                <w:rFonts w:cs="宋体" w:asciiTheme="minorEastAsia" w:hAnsiTheme="minorEastAsia" w:eastAsiaTheme="minorEastAsia"/>
                <w:kern w:val="0"/>
                <w:sz w:val="21"/>
                <w:szCs w:val="21"/>
                <w:lang w:bidi="ar"/>
              </w:rPr>
              <w:t>其他</w:t>
            </w:r>
            <w:r>
              <w:rPr>
                <w:rFonts w:hint="eastAsia" w:cs="宋体" w:asciiTheme="minorEastAsia" w:hAnsiTheme="minorEastAsia" w:eastAsiaTheme="minorEastAsia"/>
                <w:kern w:val="0"/>
                <w:sz w:val="21"/>
                <w:szCs w:val="21"/>
                <w:lang w:bidi="ar"/>
              </w:rPr>
              <w:t>。</w:t>
            </w:r>
          </w:p>
        </w:tc>
        <w:tc>
          <w:tcPr>
            <w:tcW w:w="604" w:type="pct"/>
            <w:shd w:val="clear" w:color="auto" w:fill="auto"/>
            <w:tcMar>
              <w:top w:w="15" w:type="dxa"/>
              <w:left w:w="15" w:type="dxa"/>
              <w:right w:w="15" w:type="dxa"/>
            </w:tcMar>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47"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6"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505"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460"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c>
          <w:tcPr>
            <w:tcW w:w="493" w:type="pct"/>
            <w:vAlign w:val="center"/>
          </w:tcPr>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排查人</w:t>
            </w:r>
            <w:r>
              <w:rPr>
                <w:rFonts w:hint="eastAsia" w:cs="Arial" w:asciiTheme="minorEastAsia" w:hAnsiTheme="minorEastAsia" w:eastAsiaTheme="minorEastAsia"/>
                <w:sz w:val="21"/>
                <w:szCs w:val="21"/>
              </w:rPr>
              <w:t>：</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u w:val="single"/>
              </w:rPr>
              <w:t xml:space="preserve">      </w:t>
            </w:r>
            <w:r>
              <w:rPr>
                <w:rFonts w:cs="Arial" w:asciiTheme="minorEastAsia" w:hAnsiTheme="minorEastAsia" w:eastAsiaTheme="minorEastAsia"/>
                <w:sz w:val="21"/>
                <w:szCs w:val="21"/>
              </w:rPr>
              <w:t xml:space="preserve">  </w:t>
            </w:r>
          </w:p>
          <w:p>
            <w:pPr>
              <w:spacing w:before="116" w:beforeLines="20" w:after="116" w:afterLines="20" w:line="320" w:lineRule="exact"/>
              <w:ind w:left="128" w:leftChars="50" w:right="118" w:rightChars="50"/>
              <w:rPr>
                <w:rFonts w:cs="Arial" w:asciiTheme="minorEastAsia" w:hAnsiTheme="minorEastAsia" w:eastAsiaTheme="minorEastAsia"/>
                <w:sz w:val="21"/>
                <w:szCs w:val="21"/>
              </w:rPr>
            </w:pPr>
          </w:p>
        </w:tc>
      </w:tr>
    </w:tbl>
    <w:p>
      <w:pPr>
        <w:spacing w:after="0" w:line="240" w:lineRule="auto"/>
        <w:ind w:left="0" w:firstLine="0"/>
        <w:rPr>
          <w:rFonts w:cs="Calibri" w:asciiTheme="minorEastAsia" w:hAnsiTheme="minorEastAsia" w:eastAsiaTheme="minorEastAsia"/>
          <w:b/>
          <w:sz w:val="21"/>
          <w:szCs w:val="24"/>
        </w:rPr>
        <w:sectPr>
          <w:type w:val="continuous"/>
          <w:pgSz w:w="16838" w:h="11906" w:orient="landscape"/>
          <w:pgMar w:top="1440" w:right="1080" w:bottom="1440" w:left="1080" w:header="851" w:footer="1134" w:gutter="0"/>
          <w:cols w:space="720" w:num="1"/>
          <w:docGrid w:type="linesAndChars" w:linePitch="584" w:charSpace="-849"/>
        </w:sectPr>
      </w:pPr>
    </w:p>
    <w:p>
      <w:pPr>
        <w:widowControl w:val="0"/>
        <w:spacing w:after="0" w:line="560" w:lineRule="exact"/>
        <w:ind w:left="0" w:firstLine="412" w:firstLineChars="200"/>
        <w:jc w:val="center"/>
        <w:rPr>
          <w:rFonts w:cs="Calibri" w:asciiTheme="minorEastAsia" w:hAnsiTheme="minorEastAsia" w:eastAsiaTheme="minorEastAsia"/>
          <w:b/>
          <w:sz w:val="21"/>
          <w:szCs w:val="24"/>
        </w:rPr>
      </w:pPr>
      <w:r>
        <w:rPr>
          <w:rFonts w:hint="eastAsia" w:cs="Calibri" w:asciiTheme="minorEastAsia" w:hAnsiTheme="minorEastAsia" w:eastAsiaTheme="minorEastAsia"/>
          <w:b/>
          <w:sz w:val="21"/>
          <w:szCs w:val="24"/>
        </w:rPr>
        <w:t>表3-</w:t>
      </w:r>
      <w:r>
        <w:rPr>
          <w:rFonts w:cs="Calibri" w:asciiTheme="minorEastAsia" w:hAnsiTheme="minorEastAsia" w:eastAsiaTheme="minorEastAsia"/>
          <w:b/>
          <w:sz w:val="21"/>
          <w:szCs w:val="24"/>
        </w:rPr>
        <w:t>9</w:t>
      </w:r>
      <w:r>
        <w:rPr>
          <w:rFonts w:hint="eastAsia" w:cs="Calibri" w:asciiTheme="minorEastAsia" w:hAnsiTheme="minorEastAsia" w:eastAsiaTheme="minorEastAsia"/>
          <w:b/>
          <w:sz w:val="21"/>
          <w:szCs w:val="24"/>
        </w:rPr>
        <w:t>道路及养护作业隐患排查记录表</w:t>
      </w:r>
    </w:p>
    <w:tbl>
      <w:tblPr>
        <w:tblStyle w:val="30"/>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82"/>
        <w:gridCol w:w="6735"/>
        <w:gridCol w:w="13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blHeader/>
        </w:trPr>
        <w:tc>
          <w:tcPr>
            <w:tcW w:w="542" w:type="pct"/>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部位</w:t>
            </w:r>
          </w:p>
        </w:tc>
        <w:tc>
          <w:tcPr>
            <w:tcW w:w="3717" w:type="pct"/>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排查内容</w:t>
            </w:r>
          </w:p>
        </w:tc>
        <w:tc>
          <w:tcPr>
            <w:tcW w:w="741" w:type="pct"/>
            <w:shd w:val="clear" w:color="000000" w:fill="F2F2F2"/>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排查结果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桥涵</w:t>
            </w:r>
          </w:p>
        </w:tc>
        <w:tc>
          <w:tcPr>
            <w:tcW w:w="3717" w:type="pct"/>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r>
              <w:rPr>
                <w:rFonts w:cs="宋体" w:asciiTheme="minorEastAsia" w:hAnsiTheme="minorEastAsia" w:eastAsiaTheme="minorEastAsia"/>
                <w:kern w:val="0"/>
                <w:sz w:val="21"/>
                <w:szCs w:val="21"/>
              </w:rPr>
              <w:t>.涵体</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渗漏水、开裂、变形或倾斜，砂浆</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脱落、石块</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松动</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基础无掏空。</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2.洞口附近填土</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渗水、冲刷、空洞，填土稳定。</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3.桥面铺装平整，无裂缝、局部坑槽、积水、沉陷、波浪、碎边.</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4.混凝土桥面</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剥离、渗漏，</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露筋、锈蚀，缝料</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老化、损坏。</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5.排水设施良好，桥面泄水管</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堵塞和破损，桥头跳车</w:t>
            </w:r>
            <w:r>
              <w:rPr>
                <w:rFonts w:hint="eastAsia" w:cs="宋体" w:asciiTheme="minorEastAsia" w:hAnsiTheme="minorEastAsia" w:eastAsiaTheme="minorEastAsia"/>
                <w:kern w:val="0"/>
                <w:sz w:val="21"/>
                <w:szCs w:val="21"/>
              </w:rPr>
              <w:t>正常。</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6.伸缩缝</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堵塞卡死，连接部件无松动、脱落、局部破损。</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7.梁结构无异常变形，异常的竖向振动、横向摆动等情况。</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8.基础及墩台</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冲刷损坏、外露、悬空、下沉。</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9.翼墙（侧墙、耳墙）无开裂、倾斜、滑移、沉降、风化剥落</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异常变形。</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10.锥坡、护坡、调治构造物无塌陷、铺砌面无缺损、勾缝脱落、灌木杂草丛生。</w:t>
            </w:r>
          </w:p>
        </w:tc>
        <w:tc>
          <w:tcPr>
            <w:tcW w:w="741" w:type="pct"/>
            <w:shd w:val="clear" w:color="auto" w:fill="auto"/>
            <w:vAlign w:val="center"/>
          </w:tcPr>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after="0" w:line="300" w:lineRule="exact"/>
              <w:ind w:left="0" w:firstLine="0"/>
              <w:rPr>
                <w:rFonts w:cs="宋体" w:asciiTheme="minorEastAsia" w:hAnsiTheme="minorEastAsia" w:eastAsiaTheme="minorEastAsia"/>
                <w:kern w:val="0"/>
                <w:sz w:val="21"/>
                <w:szCs w:val="21"/>
              </w:rPr>
            </w:pPr>
          </w:p>
          <w:p>
            <w:pPr>
              <w:spacing w:after="0" w:line="300" w:lineRule="exact"/>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隧道</w:t>
            </w:r>
          </w:p>
        </w:tc>
        <w:tc>
          <w:tcPr>
            <w:tcW w:w="3717" w:type="pct"/>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1</w:t>
            </w:r>
            <w:r>
              <w:rPr>
                <w:rFonts w:cs="宋体" w:asciiTheme="minorEastAsia" w:hAnsiTheme="minorEastAsia" w:eastAsiaTheme="minorEastAsia"/>
                <w:kern w:val="0"/>
                <w:sz w:val="21"/>
                <w:szCs w:val="21"/>
              </w:rPr>
              <w:t>.洞口仰坡无开裂滑动</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落石</w:t>
            </w:r>
            <w:r>
              <w:rPr>
                <w:rFonts w:hint="eastAsia" w:cs="宋体" w:asciiTheme="minorEastAsia" w:hAnsiTheme="minorEastAsia" w:eastAsiaTheme="minorEastAsia"/>
                <w:kern w:val="0"/>
                <w:sz w:val="21"/>
                <w:szCs w:val="21"/>
              </w:rPr>
              <w:t>，洞外绿化不影响行车安全。</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2.洞门结构不存在大范围开裂</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砌体断裂</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落块</w:t>
            </w:r>
            <w:r>
              <w:rPr>
                <w:rFonts w:hint="eastAsia" w:cs="宋体" w:asciiTheme="minorEastAsia" w:hAnsiTheme="minorEastAsia" w:eastAsiaTheme="minorEastAsia"/>
                <w:kern w:val="0"/>
                <w:sz w:val="21"/>
                <w:szCs w:val="21"/>
              </w:rPr>
              <w:t>。</w:t>
            </w:r>
          </w:p>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3</w:t>
            </w:r>
            <w:r>
              <w:rPr>
                <w:rFonts w:cs="宋体" w:asciiTheme="minorEastAsia" w:hAnsiTheme="minorEastAsia" w:eastAsiaTheme="minorEastAsia"/>
                <w:kern w:val="0"/>
                <w:sz w:val="21"/>
                <w:szCs w:val="21"/>
              </w:rPr>
              <w:t>.衬砌不存在大范围开累</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明显变形</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衬砌掉块</w:t>
            </w:r>
            <w:r>
              <w:rPr>
                <w:rFonts w:hint="eastAsia" w:cs="宋体" w:asciiTheme="minorEastAsia" w:hAnsiTheme="minorEastAsia" w:eastAsiaTheme="minorEastAsia"/>
                <w:kern w:val="0"/>
                <w:sz w:val="21"/>
                <w:szCs w:val="21"/>
              </w:rPr>
              <w:t>。</w:t>
            </w:r>
          </w:p>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4</w:t>
            </w:r>
            <w:r>
              <w:rPr>
                <w:rFonts w:cs="宋体" w:asciiTheme="minorEastAsia" w:hAnsiTheme="minorEastAsia" w:eastAsiaTheme="minorEastAsia"/>
                <w:kern w:val="0"/>
                <w:sz w:val="21"/>
                <w:szCs w:val="21"/>
              </w:rPr>
              <w:t>.不存在涌流</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喷射</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路面严重积水</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涌泥沙</w:t>
            </w:r>
            <w:r>
              <w:rPr>
                <w:rFonts w:hint="eastAsia" w:cs="宋体" w:asciiTheme="minorEastAsia" w:hAnsiTheme="minorEastAsia" w:eastAsiaTheme="minorEastAsia"/>
                <w:kern w:val="0"/>
                <w:sz w:val="21"/>
                <w:szCs w:val="21"/>
              </w:rPr>
              <w:t>。</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5.隧道路面及联络通道不存在散落物</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严重隆起</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错台</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断裂</w:t>
            </w:r>
            <w:r>
              <w:rPr>
                <w:rFonts w:hint="eastAsia" w:cs="宋体" w:asciiTheme="minorEastAsia" w:hAnsiTheme="minorEastAsia" w:eastAsiaTheme="minorEastAsia"/>
                <w:kern w:val="0"/>
                <w:sz w:val="21"/>
                <w:szCs w:val="21"/>
              </w:rPr>
              <w:t>。</w:t>
            </w:r>
          </w:p>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w:t>
            </w:r>
            <w:r>
              <w:rPr>
                <w:rFonts w:cs="宋体" w:asciiTheme="minorEastAsia" w:hAnsiTheme="minorEastAsia" w:eastAsiaTheme="minorEastAsia"/>
                <w:kern w:val="0"/>
                <w:sz w:val="21"/>
                <w:szCs w:val="21"/>
              </w:rPr>
              <w:t>.洞顶预埋件和悬吊件不存在断裂</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变形或脱落</w:t>
            </w:r>
            <w:r>
              <w:rPr>
                <w:rFonts w:hint="eastAsia" w:cs="宋体" w:asciiTheme="minorEastAsia" w:hAnsiTheme="minorEastAsia" w:eastAsiaTheme="minorEastAsia"/>
                <w:kern w:val="0"/>
                <w:sz w:val="21"/>
                <w:szCs w:val="21"/>
              </w:rPr>
              <w:t>。</w:t>
            </w:r>
          </w:p>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7</w:t>
            </w:r>
            <w:r>
              <w:rPr>
                <w:rFonts w:cs="宋体" w:asciiTheme="minorEastAsia" w:hAnsiTheme="minorEastAsia" w:eastAsiaTheme="minorEastAsia"/>
                <w:kern w:val="0"/>
                <w:sz w:val="21"/>
                <w:szCs w:val="21"/>
              </w:rPr>
              <w:t>.电缆沟</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设备洞室无明显涌水</w:t>
            </w:r>
            <w:r>
              <w:rPr>
                <w:rFonts w:hint="eastAsia" w:cs="宋体" w:asciiTheme="minorEastAsia" w:hAnsiTheme="minorEastAsia" w:eastAsiaTheme="minorEastAsia"/>
                <w:kern w:val="0"/>
                <w:sz w:val="21"/>
                <w:szCs w:val="21"/>
              </w:rPr>
              <w:t>。</w:t>
            </w:r>
          </w:p>
        </w:tc>
        <w:tc>
          <w:tcPr>
            <w:tcW w:w="741" w:type="pct"/>
            <w:shd w:val="clear" w:color="auto" w:fill="auto"/>
            <w:vAlign w:val="center"/>
          </w:tcPr>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FFFFFF" w:themeFill="background1"/>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路基路面</w:t>
            </w:r>
          </w:p>
        </w:tc>
        <w:tc>
          <w:tcPr>
            <w:tcW w:w="3717" w:type="pct"/>
            <w:shd w:val="clear" w:color="auto" w:fill="FFFFFF" w:themeFill="background1"/>
            <w:vAlign w:val="center"/>
          </w:tcPr>
          <w:p>
            <w:pPr>
              <w:pStyle w:val="56"/>
              <w:numPr>
                <w:ilvl w:val="0"/>
                <w:numId w:val="9"/>
              </w:numPr>
              <w:spacing w:after="0" w:line="30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路面无明显的坑槽、裂缝、车辙等病害。</w:t>
            </w:r>
          </w:p>
          <w:p>
            <w:pPr>
              <w:pStyle w:val="56"/>
              <w:numPr>
                <w:ilvl w:val="0"/>
                <w:numId w:val="9"/>
              </w:numPr>
              <w:spacing w:after="0" w:line="30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路面整洁，无洒落物。</w:t>
            </w:r>
          </w:p>
          <w:p>
            <w:pPr>
              <w:pStyle w:val="56"/>
              <w:numPr>
                <w:ilvl w:val="0"/>
                <w:numId w:val="9"/>
              </w:numPr>
              <w:spacing w:after="0" w:line="30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路肩平整、坚实，横坡适顺，排水顺畅。</w:t>
            </w:r>
          </w:p>
          <w:p>
            <w:pPr>
              <w:pStyle w:val="56"/>
              <w:numPr>
                <w:ilvl w:val="0"/>
                <w:numId w:val="9"/>
              </w:numPr>
              <w:spacing w:after="0" w:line="30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路肩及边坡无杂物，杂草、垃圾及时清理。</w:t>
            </w:r>
          </w:p>
          <w:p>
            <w:pPr>
              <w:pStyle w:val="56"/>
              <w:numPr>
                <w:ilvl w:val="0"/>
                <w:numId w:val="9"/>
              </w:numPr>
              <w:spacing w:after="0" w:line="30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拦水带、路缘石无松动、破损。</w:t>
            </w:r>
          </w:p>
          <w:p>
            <w:pPr>
              <w:pStyle w:val="56"/>
              <w:numPr>
                <w:ilvl w:val="0"/>
                <w:numId w:val="9"/>
              </w:numPr>
              <w:spacing w:after="0" w:line="30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边坡坚实，无坍塌、缺口、侧滑、裂缝等病害。</w:t>
            </w:r>
          </w:p>
        </w:tc>
        <w:tc>
          <w:tcPr>
            <w:tcW w:w="741" w:type="pct"/>
            <w:shd w:val="clear" w:color="auto" w:fill="auto"/>
            <w:vAlign w:val="center"/>
          </w:tcPr>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after="0" w:line="300" w:lineRule="exact"/>
              <w:ind w:left="0" w:firstLine="0"/>
              <w:rPr>
                <w:rFonts w:cs="宋体" w:asciiTheme="minorEastAsia" w:hAnsiTheme="minorEastAsia" w:eastAsiaTheme="minorEastAsia"/>
                <w:kern w:val="0"/>
                <w:sz w:val="21"/>
                <w:szCs w:val="21"/>
              </w:rPr>
            </w:pPr>
          </w:p>
          <w:p>
            <w:pPr>
              <w:spacing w:after="0" w:line="300" w:lineRule="exact"/>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FFFFFF" w:themeFill="background1"/>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交安及绿化</w:t>
            </w:r>
          </w:p>
        </w:tc>
        <w:tc>
          <w:tcPr>
            <w:tcW w:w="3717" w:type="pct"/>
            <w:shd w:val="clear" w:color="auto" w:fill="FFFFFF" w:themeFill="background1"/>
            <w:vAlign w:val="center"/>
          </w:tcPr>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1.隔离栅</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防眩网</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防抛网</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声屏障等完好，无缺损、倒伏</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倾斜</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固定不牢。</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2.标线线型整齐顺畅，无污损</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视认性良好。</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3.交通标志设置合理、结构安全、视认性良好。</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4.护栏连接牢固，构建</w:t>
            </w:r>
            <w:r>
              <w:rPr>
                <w:rFonts w:hint="eastAsia" w:cs="宋体" w:asciiTheme="minorEastAsia" w:hAnsiTheme="minorEastAsia" w:eastAsiaTheme="minorEastAsia"/>
                <w:kern w:val="0"/>
                <w:sz w:val="21"/>
                <w:szCs w:val="21"/>
              </w:rPr>
              <w:t>无</w:t>
            </w:r>
            <w:r>
              <w:rPr>
                <w:rFonts w:cs="宋体" w:asciiTheme="minorEastAsia" w:hAnsiTheme="minorEastAsia" w:eastAsiaTheme="minorEastAsia"/>
                <w:kern w:val="0"/>
                <w:sz w:val="21"/>
                <w:szCs w:val="21"/>
              </w:rPr>
              <w:t>缺失</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新泽西护栏无明显裂缝、掉角、破损现象。</w:t>
            </w:r>
          </w:p>
          <w:p>
            <w:pPr>
              <w:spacing w:after="0" w:line="300" w:lineRule="exact"/>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5.检查轮廓标</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里程牌、百米桩、防撞桶等设施无缺失，</w:t>
            </w:r>
            <w:r>
              <w:rPr>
                <w:rFonts w:hint="eastAsia" w:cs="宋体" w:asciiTheme="minorEastAsia" w:hAnsiTheme="minorEastAsia" w:eastAsiaTheme="minorEastAsia"/>
                <w:kern w:val="0"/>
                <w:sz w:val="21"/>
                <w:szCs w:val="21"/>
              </w:rPr>
              <w:t>功能</w:t>
            </w:r>
            <w:r>
              <w:rPr>
                <w:rFonts w:cs="宋体" w:asciiTheme="minorEastAsia" w:hAnsiTheme="minorEastAsia" w:eastAsiaTheme="minorEastAsia"/>
                <w:kern w:val="0"/>
                <w:sz w:val="21"/>
                <w:szCs w:val="21"/>
              </w:rPr>
              <w:t>正常。</w:t>
            </w:r>
          </w:p>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6</w:t>
            </w:r>
            <w:r>
              <w:rPr>
                <w:rFonts w:cs="宋体" w:asciiTheme="minorEastAsia" w:hAnsiTheme="minorEastAsia" w:eastAsiaTheme="minorEastAsia"/>
                <w:kern w:val="0"/>
                <w:sz w:val="21"/>
                <w:szCs w:val="21"/>
              </w:rPr>
              <w:t>.中央分隔带、边坡两侧的苗木、杂草无倾斜</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倒伏</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遮挡标志标牌。</w:t>
            </w:r>
          </w:p>
        </w:tc>
        <w:tc>
          <w:tcPr>
            <w:tcW w:w="741" w:type="pct"/>
            <w:shd w:val="clear" w:color="auto" w:fill="auto"/>
            <w:vAlign w:val="center"/>
          </w:tcPr>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00" w:lineRule="exact"/>
              <w:ind w:left="128" w:leftChars="50" w:right="118" w:rightChars="50"/>
              <w:rPr>
                <w:rFonts w:cs="宋体" w:asciiTheme="minorEastAsia" w:hAnsiTheme="minorEastAsia" w:eastAsiaTheme="minorEastAsia"/>
                <w:kern w:val="0"/>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300" w:lineRule="exact"/>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FFFFFF" w:themeFill="background1"/>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养护作业安全</w:t>
            </w:r>
          </w:p>
        </w:tc>
        <w:tc>
          <w:tcPr>
            <w:tcW w:w="3717" w:type="pct"/>
            <w:tcBorders>
              <w:bottom w:val="single" w:color="auto" w:sz="4" w:space="0"/>
            </w:tcBorders>
            <w:shd w:val="clear" w:color="auto" w:fill="FFFFFF" w:themeFill="background1"/>
            <w:vAlign w:val="center"/>
          </w:tcPr>
          <w:p>
            <w:pPr>
              <w:pStyle w:val="56"/>
              <w:numPr>
                <w:ilvl w:val="0"/>
                <w:numId w:val="10"/>
              </w:numPr>
              <w:spacing w:after="0" w:line="30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按规定开展岗前安全技术交底、培训等工作。</w:t>
            </w:r>
          </w:p>
          <w:p>
            <w:pPr>
              <w:pStyle w:val="56"/>
              <w:numPr>
                <w:ilvl w:val="0"/>
                <w:numId w:val="10"/>
              </w:numPr>
              <w:spacing w:after="0" w:line="300" w:lineRule="exact"/>
              <w:ind w:left="0" w:firstLine="0"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养护现场作业控制区设置符合《公路养护安全作业规程》规定。</w:t>
            </w:r>
          </w:p>
          <w:p>
            <w:pPr>
              <w:pStyle w:val="56"/>
              <w:numPr>
                <w:ilvl w:val="0"/>
                <w:numId w:val="10"/>
              </w:numPr>
              <w:spacing w:after="0" w:line="300" w:lineRule="exact"/>
              <w:ind w:left="0" w:firstLine="0"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作业现场机械设备、临时用电及消防设备齐全，技术状况良好。</w:t>
            </w:r>
          </w:p>
          <w:p>
            <w:pPr>
              <w:pStyle w:val="56"/>
              <w:numPr>
                <w:ilvl w:val="0"/>
                <w:numId w:val="10"/>
              </w:numPr>
              <w:spacing w:after="0" w:line="300" w:lineRule="exact"/>
              <w:ind w:left="0" w:firstLine="0"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养护机械设备、物资材料，标志标牌按规定摆放。</w:t>
            </w:r>
          </w:p>
          <w:p>
            <w:pPr>
              <w:pStyle w:val="56"/>
              <w:numPr>
                <w:ilvl w:val="0"/>
                <w:numId w:val="10"/>
              </w:numPr>
              <w:spacing w:after="0" w:line="300" w:lineRule="exact"/>
              <w:ind w:left="0" w:firstLine="0"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作业人员无酒后、不穿反光标志服、不按规程作业等违章行为。</w:t>
            </w:r>
          </w:p>
          <w:p>
            <w:pPr>
              <w:pStyle w:val="56"/>
              <w:numPr>
                <w:ilvl w:val="0"/>
                <w:numId w:val="10"/>
              </w:numPr>
              <w:spacing w:after="0" w:line="300" w:lineRule="exact"/>
              <w:ind w:left="0" w:firstLine="0"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施工现场按规定配置安全员，安全员按规定检查。</w:t>
            </w:r>
          </w:p>
        </w:tc>
        <w:tc>
          <w:tcPr>
            <w:tcW w:w="741" w:type="pct"/>
            <w:tcBorders>
              <w:bottom w:val="single" w:color="auto" w:sz="4" w:space="0"/>
            </w:tcBorders>
            <w:shd w:val="clear" w:color="auto" w:fill="auto"/>
            <w:vAlign w:val="center"/>
          </w:tcPr>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before="116" w:beforeLines="20" w:after="116" w:afterLines="20" w:line="300" w:lineRule="exact"/>
              <w:ind w:left="128" w:leftChars="50" w:right="118" w:rightChars="50"/>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before="116" w:beforeLines="20" w:after="116" w:afterLines="20" w:line="300" w:lineRule="exact"/>
              <w:ind w:left="128" w:leftChars="50" w:right="118" w:rightChars="50"/>
              <w:rPr>
                <w:rFonts w:cs="宋体" w:asciiTheme="minorEastAsia" w:hAnsiTheme="minorEastAsia" w:eastAsiaTheme="minorEastAsia"/>
                <w:kern w:val="0"/>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after="0" w:line="300" w:lineRule="exact"/>
              <w:ind w:left="0" w:firstLine="0"/>
              <w:rPr>
                <w:rFonts w:cs="宋体" w:asciiTheme="minorEastAsia" w:hAnsiTheme="minorEastAsia" w:eastAsiaTheme="minorEastAsia"/>
                <w:kern w:val="0"/>
                <w:sz w:val="21"/>
                <w:szCs w:val="21"/>
              </w:rPr>
            </w:pPr>
          </w:p>
          <w:p>
            <w:pPr>
              <w:spacing w:after="0" w:line="300" w:lineRule="exact"/>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auto"/>
            <w:vAlign w:val="center"/>
          </w:tcPr>
          <w:p>
            <w:pPr>
              <w:spacing w:after="0" w:line="30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其他</w:t>
            </w:r>
          </w:p>
        </w:tc>
        <w:tc>
          <w:tcPr>
            <w:tcW w:w="1" w:type="pct"/>
            <w:gridSpan w:val="2"/>
            <w:tcBorders>
              <w:top w:val="single" w:color="auto" w:sz="4" w:space="0"/>
            </w:tcBorders>
            <w:shd w:val="clear" w:color="auto" w:fill="auto"/>
            <w:vAlign w:val="center"/>
          </w:tcPr>
          <w:p>
            <w:pPr>
              <w:spacing w:after="0" w:line="300" w:lineRule="exact"/>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300" w:lineRule="exact"/>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000" w:type="pct"/>
            <w:gridSpan w:val="3"/>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排查人：                      排查日期：</w:t>
            </w:r>
          </w:p>
        </w:tc>
      </w:tr>
    </w:tbl>
    <w:p>
      <w:pPr>
        <w:widowControl w:val="0"/>
        <w:spacing w:after="0" w:line="300" w:lineRule="exact"/>
        <w:ind w:left="0" w:firstLine="412" w:firstLineChars="200"/>
        <w:jc w:val="center"/>
        <w:rPr>
          <w:rFonts w:cs="Calibri" w:asciiTheme="minorEastAsia" w:hAnsiTheme="minorEastAsia" w:eastAsiaTheme="minorEastAsia"/>
          <w:b/>
          <w:sz w:val="21"/>
          <w:szCs w:val="24"/>
        </w:rPr>
      </w:pPr>
    </w:p>
    <w:p>
      <w:pPr>
        <w:spacing w:after="0" w:line="240" w:lineRule="auto"/>
        <w:ind w:left="0" w:firstLine="0"/>
        <w:jc w:val="center"/>
        <w:rPr>
          <w:rFonts w:cs="Calibri" w:asciiTheme="minorEastAsia" w:hAnsiTheme="minorEastAsia" w:eastAsiaTheme="minorEastAsia"/>
          <w:b/>
          <w:sz w:val="21"/>
          <w:szCs w:val="24"/>
        </w:rPr>
      </w:pPr>
      <w:r>
        <w:rPr>
          <w:rFonts w:cs="Calibri" w:asciiTheme="minorEastAsia" w:hAnsiTheme="minorEastAsia" w:eastAsiaTheme="minorEastAsia"/>
          <w:b/>
          <w:sz w:val="21"/>
          <w:szCs w:val="24"/>
        </w:rPr>
        <w:br w:type="page"/>
      </w:r>
      <w:r>
        <w:rPr>
          <w:rFonts w:hint="eastAsia" w:cs="Calibri" w:asciiTheme="minorEastAsia" w:hAnsiTheme="minorEastAsia" w:eastAsiaTheme="minorEastAsia"/>
          <w:b/>
          <w:sz w:val="21"/>
          <w:szCs w:val="24"/>
        </w:rPr>
        <w:t>表3-</w:t>
      </w:r>
      <w:r>
        <w:rPr>
          <w:rFonts w:cs="Calibri" w:asciiTheme="minorEastAsia" w:hAnsiTheme="minorEastAsia" w:eastAsiaTheme="minorEastAsia"/>
          <w:b/>
          <w:sz w:val="21"/>
          <w:szCs w:val="24"/>
        </w:rPr>
        <w:t>10养护</w:t>
      </w:r>
      <w:r>
        <w:rPr>
          <w:rFonts w:hint="eastAsia" w:cs="Calibri" w:asciiTheme="minorEastAsia" w:hAnsiTheme="minorEastAsia" w:eastAsiaTheme="minorEastAsia"/>
          <w:b/>
          <w:sz w:val="21"/>
          <w:szCs w:val="24"/>
        </w:rPr>
        <w:t>机械设备隐患排查记录表</w:t>
      </w:r>
    </w:p>
    <w:tbl>
      <w:tblPr>
        <w:tblStyle w:val="30"/>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82"/>
        <w:gridCol w:w="6735"/>
        <w:gridCol w:w="13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blHeader/>
        </w:trPr>
        <w:tc>
          <w:tcPr>
            <w:tcW w:w="542" w:type="pct"/>
            <w:shd w:val="clear" w:color="000000" w:fill="F2F2F2"/>
            <w:vAlign w:val="center"/>
          </w:tcPr>
          <w:p>
            <w:pPr>
              <w:spacing w:after="0" w:line="480" w:lineRule="exact"/>
              <w:ind w:left="0" w:firstLine="0"/>
              <w:jc w:val="center"/>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设备</w:t>
            </w:r>
          </w:p>
        </w:tc>
        <w:tc>
          <w:tcPr>
            <w:tcW w:w="3717" w:type="pct"/>
            <w:shd w:val="clear" w:color="000000" w:fill="F2F2F2"/>
            <w:vAlign w:val="center"/>
          </w:tcPr>
          <w:p>
            <w:pPr>
              <w:spacing w:after="0" w:line="48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排查内容</w:t>
            </w:r>
          </w:p>
        </w:tc>
        <w:tc>
          <w:tcPr>
            <w:tcW w:w="741" w:type="pct"/>
            <w:shd w:val="clear" w:color="000000" w:fill="F2F2F2"/>
            <w:vAlign w:val="center"/>
          </w:tcPr>
          <w:p>
            <w:pPr>
              <w:spacing w:after="0" w:line="48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排查结果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auto"/>
            <w:vAlign w:val="center"/>
          </w:tcPr>
          <w:p>
            <w:pPr>
              <w:spacing w:after="0" w:line="48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机械设备</w:t>
            </w:r>
          </w:p>
        </w:tc>
        <w:tc>
          <w:tcPr>
            <w:tcW w:w="3717" w:type="pct"/>
            <w:shd w:val="clear" w:color="auto" w:fill="auto"/>
            <w:vAlign w:val="center"/>
          </w:tcPr>
          <w:p>
            <w:pPr>
              <w:pStyle w:val="56"/>
              <w:numPr>
                <w:ilvl w:val="0"/>
                <w:numId w:val="11"/>
              </w:numPr>
              <w:spacing w:after="0" w:line="48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设备运转正常，无异响、泄露，装置、附属设施牢固，传动部件紧固；</w:t>
            </w:r>
          </w:p>
          <w:p>
            <w:pPr>
              <w:pStyle w:val="56"/>
              <w:numPr>
                <w:ilvl w:val="0"/>
                <w:numId w:val="11"/>
              </w:numPr>
              <w:spacing w:after="0" w:line="480" w:lineRule="exact"/>
              <w:ind w:firstLineChars="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安全防护设施</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标志齐全</w:t>
            </w:r>
            <w:r>
              <w:rPr>
                <w:rFonts w:hint="eastAsia" w:cs="宋体" w:asciiTheme="minorEastAsia" w:hAnsiTheme="minorEastAsia" w:eastAsiaTheme="minorEastAsia"/>
                <w:kern w:val="0"/>
                <w:sz w:val="21"/>
                <w:szCs w:val="21"/>
              </w:rPr>
              <w:t>。</w:t>
            </w:r>
          </w:p>
          <w:p>
            <w:pPr>
              <w:pStyle w:val="56"/>
              <w:numPr>
                <w:ilvl w:val="0"/>
                <w:numId w:val="11"/>
              </w:numPr>
              <w:spacing w:after="0" w:line="480" w:lineRule="exact"/>
              <w:ind w:firstLineChars="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线缆无破损</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漏电</w:t>
            </w:r>
            <w:r>
              <w:rPr>
                <w:rFonts w:hint="eastAsia" w:cs="宋体" w:asciiTheme="minorEastAsia" w:hAnsiTheme="minorEastAsia" w:eastAsiaTheme="minorEastAsia"/>
                <w:kern w:val="0"/>
                <w:sz w:val="21"/>
                <w:szCs w:val="21"/>
              </w:rPr>
              <w:t>。</w:t>
            </w:r>
          </w:p>
          <w:p>
            <w:pPr>
              <w:pStyle w:val="56"/>
              <w:numPr>
                <w:ilvl w:val="0"/>
                <w:numId w:val="11"/>
              </w:numPr>
              <w:spacing w:after="0" w:line="480" w:lineRule="exact"/>
              <w:ind w:firstLineChars="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消防设施齐全有效</w:t>
            </w:r>
            <w:r>
              <w:rPr>
                <w:rFonts w:hint="eastAsia" w:cs="宋体" w:asciiTheme="minorEastAsia" w:hAnsiTheme="minorEastAsia" w:eastAsiaTheme="minorEastAsia"/>
                <w:kern w:val="0"/>
                <w:sz w:val="21"/>
                <w:szCs w:val="21"/>
              </w:rPr>
              <w:t>。</w:t>
            </w:r>
          </w:p>
          <w:p>
            <w:pPr>
              <w:pStyle w:val="56"/>
              <w:numPr>
                <w:ilvl w:val="0"/>
                <w:numId w:val="11"/>
              </w:numPr>
              <w:spacing w:after="0" w:line="48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按规定维修保养。</w:t>
            </w:r>
          </w:p>
        </w:tc>
        <w:tc>
          <w:tcPr>
            <w:tcW w:w="741" w:type="pct"/>
            <w:shd w:val="clear" w:color="auto" w:fill="auto"/>
            <w:vAlign w:val="center"/>
          </w:tcPr>
          <w:p>
            <w:pPr>
              <w:spacing w:after="116" w:line="480" w:lineRule="exact"/>
              <w:ind w:left="128" w:right="118"/>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after="116" w:line="480" w:lineRule="exact"/>
              <w:ind w:left="128" w:right="118"/>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after="116" w:line="480" w:lineRule="exact"/>
              <w:ind w:left="128" w:right="118"/>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after="0" w:line="480" w:lineRule="exact"/>
              <w:ind w:left="0" w:firstLine="0"/>
              <w:rPr>
                <w:rFonts w:cs="宋体" w:asciiTheme="minorEastAsia" w:hAnsiTheme="minorEastAsia" w:eastAsiaTheme="minorEastAsia"/>
                <w:kern w:val="0"/>
                <w:sz w:val="21"/>
                <w:szCs w:val="21"/>
              </w:rPr>
            </w:pPr>
          </w:p>
          <w:p>
            <w:pPr>
              <w:spacing w:after="0" w:line="480" w:lineRule="exact"/>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FFFFFF" w:themeFill="background1"/>
            <w:vAlign w:val="center"/>
          </w:tcPr>
          <w:p>
            <w:pPr>
              <w:spacing w:after="0" w:line="480" w:lineRule="exact"/>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车辆</w:t>
            </w:r>
          </w:p>
        </w:tc>
        <w:tc>
          <w:tcPr>
            <w:tcW w:w="3717" w:type="pct"/>
            <w:shd w:val="clear" w:color="auto" w:fill="FFFFFF" w:themeFill="background1"/>
            <w:vAlign w:val="center"/>
          </w:tcPr>
          <w:p>
            <w:pPr>
              <w:pStyle w:val="56"/>
              <w:numPr>
                <w:ilvl w:val="0"/>
                <w:numId w:val="12"/>
              </w:numPr>
              <w:spacing w:after="0" w:line="48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转向、刹车正常。</w:t>
            </w:r>
          </w:p>
          <w:p>
            <w:pPr>
              <w:pStyle w:val="56"/>
              <w:numPr>
                <w:ilvl w:val="0"/>
                <w:numId w:val="12"/>
              </w:numPr>
              <w:spacing w:after="0" w:line="48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轮胎气压适当，备胎完好。</w:t>
            </w:r>
          </w:p>
          <w:p>
            <w:pPr>
              <w:pStyle w:val="56"/>
              <w:numPr>
                <w:ilvl w:val="0"/>
                <w:numId w:val="12"/>
              </w:numPr>
              <w:spacing w:after="0" w:line="48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水、油量充足，无泄露。</w:t>
            </w:r>
          </w:p>
          <w:p>
            <w:pPr>
              <w:pStyle w:val="56"/>
              <w:numPr>
                <w:ilvl w:val="0"/>
                <w:numId w:val="12"/>
              </w:numPr>
              <w:spacing w:after="0" w:line="48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车辆运转正常，无异响、故障。</w:t>
            </w:r>
          </w:p>
          <w:p>
            <w:pPr>
              <w:pStyle w:val="56"/>
              <w:numPr>
                <w:ilvl w:val="0"/>
                <w:numId w:val="12"/>
              </w:numPr>
              <w:spacing w:after="0" w:line="48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后视镜、车灯、喇叭、仪表等正常。</w:t>
            </w:r>
          </w:p>
          <w:p>
            <w:pPr>
              <w:pStyle w:val="56"/>
              <w:numPr>
                <w:ilvl w:val="0"/>
                <w:numId w:val="12"/>
              </w:numPr>
              <w:spacing w:after="0" w:line="480" w:lineRule="exact"/>
              <w:ind w:firstLineChars="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警示灯、安全标志齐全有效。</w:t>
            </w:r>
          </w:p>
          <w:p>
            <w:pPr>
              <w:pStyle w:val="56"/>
              <w:numPr>
                <w:ilvl w:val="0"/>
                <w:numId w:val="12"/>
              </w:numPr>
              <w:spacing w:after="0" w:line="480" w:lineRule="exact"/>
              <w:ind w:firstLineChars="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车载灭火器齐全有效</w:t>
            </w:r>
            <w:r>
              <w:rPr>
                <w:rFonts w:hint="eastAsia" w:cs="宋体" w:asciiTheme="minorEastAsia" w:hAnsiTheme="minorEastAsia" w:eastAsiaTheme="minorEastAsia"/>
                <w:kern w:val="0"/>
                <w:sz w:val="21"/>
                <w:szCs w:val="21"/>
              </w:rPr>
              <w:t>。</w:t>
            </w:r>
          </w:p>
          <w:p>
            <w:pPr>
              <w:pStyle w:val="56"/>
              <w:numPr>
                <w:ilvl w:val="0"/>
                <w:numId w:val="12"/>
              </w:numPr>
              <w:spacing w:after="0" w:line="480" w:lineRule="exact"/>
              <w:ind w:firstLineChars="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按规定维护保养</w:t>
            </w:r>
            <w:r>
              <w:rPr>
                <w:rFonts w:hint="eastAsia" w:cs="宋体" w:asciiTheme="minorEastAsia" w:hAnsiTheme="minorEastAsia" w:eastAsiaTheme="minorEastAsia"/>
                <w:kern w:val="0"/>
                <w:sz w:val="21"/>
                <w:szCs w:val="21"/>
              </w:rPr>
              <w:t>。</w:t>
            </w:r>
          </w:p>
        </w:tc>
        <w:tc>
          <w:tcPr>
            <w:tcW w:w="741" w:type="pct"/>
            <w:shd w:val="clear" w:color="auto" w:fill="auto"/>
            <w:vAlign w:val="center"/>
          </w:tcPr>
          <w:p>
            <w:pPr>
              <w:spacing w:after="116" w:line="480" w:lineRule="exact"/>
              <w:ind w:left="128" w:right="118"/>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正常</w:t>
            </w:r>
          </w:p>
          <w:p>
            <w:pPr>
              <w:spacing w:after="116" w:line="480" w:lineRule="exact"/>
              <w:ind w:left="128" w:right="118"/>
              <w:rPr>
                <w:rFonts w:cs="Arial" w:asciiTheme="minorEastAsia" w:hAnsiTheme="minorEastAsia" w:eastAsiaTheme="minorEastAsia"/>
                <w:sz w:val="21"/>
                <w:szCs w:val="21"/>
              </w:rPr>
            </w:pPr>
            <w:r>
              <w:rPr>
                <w:rFonts w:hint="eastAsia" w:cs="Arial" w:asciiTheme="minorEastAsia" w:hAnsiTheme="minorEastAsia" w:eastAsiaTheme="minorEastAsia"/>
                <w:sz w:val="21"/>
                <w:szCs w:val="21"/>
              </w:rPr>
              <w:t>□</w:t>
            </w:r>
            <w:r>
              <w:rPr>
                <w:rFonts w:cs="Arial" w:asciiTheme="minorEastAsia" w:hAnsiTheme="minorEastAsia" w:eastAsiaTheme="minorEastAsia"/>
                <w:sz w:val="21"/>
                <w:szCs w:val="21"/>
              </w:rPr>
              <w:t>异常</w:t>
            </w:r>
          </w:p>
          <w:p>
            <w:pPr>
              <w:spacing w:after="116" w:line="480" w:lineRule="exact"/>
              <w:ind w:left="128" w:right="118"/>
              <w:rPr>
                <w:rFonts w:cs="Arial" w:asciiTheme="minorEastAsia" w:hAnsiTheme="minorEastAsia" w:eastAsiaTheme="minorEastAsia"/>
                <w:sz w:val="21"/>
                <w:szCs w:val="21"/>
              </w:rPr>
            </w:pPr>
            <w:r>
              <w:rPr>
                <w:rFonts w:cs="Arial" w:asciiTheme="minorEastAsia" w:hAnsiTheme="minorEastAsia" w:eastAsiaTheme="minorEastAsia"/>
                <w:sz w:val="21"/>
                <w:szCs w:val="21"/>
              </w:rPr>
              <w:t>隐患</w:t>
            </w:r>
            <w:r>
              <w:rPr>
                <w:rFonts w:hint="eastAsia" w:cs="Arial" w:asciiTheme="minorEastAsia" w:hAnsiTheme="minorEastAsia" w:eastAsiaTheme="minorEastAsia"/>
                <w:sz w:val="21"/>
                <w:szCs w:val="21"/>
              </w:rPr>
              <w:t>：</w:t>
            </w:r>
          </w:p>
          <w:p>
            <w:pPr>
              <w:spacing w:after="0" w:line="480" w:lineRule="exact"/>
              <w:ind w:left="0" w:firstLine="0"/>
              <w:rPr>
                <w:rFonts w:cs="宋体" w:asciiTheme="minorEastAsia" w:hAnsiTheme="minorEastAsia" w:eastAsiaTheme="minorEastAsia"/>
                <w:kern w:val="0"/>
                <w:sz w:val="21"/>
                <w:szCs w:val="21"/>
              </w:rPr>
            </w:pPr>
          </w:p>
          <w:p>
            <w:pPr>
              <w:spacing w:after="0" w:line="480" w:lineRule="exact"/>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000" w:type="pct"/>
            <w:gridSpan w:val="3"/>
            <w:shd w:val="clear" w:color="auto" w:fill="auto"/>
            <w:vAlign w:val="center"/>
          </w:tcPr>
          <w:p>
            <w:pPr>
              <w:spacing w:after="116" w:line="480" w:lineRule="exact"/>
              <w:ind w:left="128" w:right="118"/>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排查类型</w:t>
            </w:r>
            <w:r>
              <w:rPr>
                <w:rFonts w:hint="eastAsia" w:cs="宋体" w:asciiTheme="minorEastAsia" w:hAnsiTheme="minorEastAsia" w:eastAsiaTheme="minorEastAsia"/>
                <w:kern w:val="0"/>
                <w:sz w:val="21"/>
                <w:szCs w:val="21"/>
              </w:rPr>
              <w:t xml:space="preserve">： </w:t>
            </w:r>
            <w:r>
              <w:rPr>
                <w:rFonts w:hint="eastAsia" w:cs="Arial" w:asciiTheme="minorEastAsia" w:hAnsiTheme="minorEastAsia" w:eastAsiaTheme="minorEastAsia"/>
                <w:sz w:val="21"/>
                <w:szCs w:val="21"/>
              </w:rPr>
              <w:t xml:space="preserve">□作业前 </w:t>
            </w:r>
            <w:r>
              <w:rPr>
                <w:rFonts w:cs="Arial" w:asciiTheme="minorEastAsia" w:hAnsiTheme="minorEastAsia" w:eastAsiaTheme="minorEastAsia"/>
                <w:sz w:val="21"/>
                <w:szCs w:val="21"/>
              </w:rPr>
              <w:t xml:space="preserve">    </w:t>
            </w:r>
            <w:r>
              <w:rPr>
                <w:rFonts w:hint="eastAsia" w:cs="Arial" w:asciiTheme="minorEastAsia" w:hAnsiTheme="minorEastAsia" w:eastAsiaTheme="minorEastAsia"/>
                <w:sz w:val="21"/>
                <w:szCs w:val="21"/>
              </w:rPr>
              <w:t>□周排查</w:t>
            </w:r>
            <w:r>
              <w:rPr>
                <w:rFonts w:hint="eastAsia" w:cs="宋体" w:asciiTheme="minorEastAsia" w:hAnsiTheme="minorEastAsia" w:eastAsiaTheme="minorEastAsia"/>
                <w:kern w:val="0"/>
                <w:sz w:val="21"/>
                <w:szCs w:val="21"/>
              </w:rPr>
              <w:t xml:space="preserve"> </w:t>
            </w:r>
            <w:r>
              <w:rPr>
                <w:rFonts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1"/>
                <w:szCs w:val="21"/>
              </w:rPr>
              <w:t xml:space="preserve">排查人：              </w:t>
            </w:r>
            <w:r>
              <w:rPr>
                <w:rFonts w:cs="宋体" w:asciiTheme="minorEastAsia" w:hAnsiTheme="minorEastAsia" w:eastAsiaTheme="minorEastAsia"/>
                <w:kern w:val="0"/>
                <w:sz w:val="21"/>
                <w:szCs w:val="21"/>
              </w:rPr>
              <w:t xml:space="preserve">  </w:t>
            </w:r>
            <w:r>
              <w:rPr>
                <w:rFonts w:hint="eastAsia" w:cs="宋体" w:asciiTheme="minorEastAsia" w:hAnsiTheme="minorEastAsia" w:eastAsiaTheme="minorEastAsia"/>
                <w:kern w:val="0"/>
                <w:sz w:val="21"/>
                <w:szCs w:val="21"/>
              </w:rPr>
              <w:t>排查日期：</w:t>
            </w:r>
          </w:p>
        </w:tc>
      </w:tr>
    </w:tbl>
    <w:p>
      <w:pPr>
        <w:widowControl w:val="0"/>
        <w:spacing w:after="0" w:line="560" w:lineRule="exact"/>
        <w:ind w:left="0" w:firstLine="412" w:firstLineChars="200"/>
        <w:jc w:val="center"/>
        <w:rPr>
          <w:rFonts w:cs="Calibri" w:asciiTheme="minorEastAsia" w:hAnsiTheme="minorEastAsia" w:eastAsiaTheme="minorEastAsia"/>
          <w:b/>
          <w:sz w:val="21"/>
          <w:szCs w:val="24"/>
        </w:rPr>
      </w:pPr>
    </w:p>
    <w:p>
      <w:pPr>
        <w:spacing w:after="0" w:line="240" w:lineRule="auto"/>
        <w:ind w:left="0" w:firstLine="0"/>
        <w:rPr>
          <w:rFonts w:cs="Calibri" w:asciiTheme="minorEastAsia" w:hAnsiTheme="minorEastAsia" w:eastAsiaTheme="minorEastAsia"/>
          <w:b/>
          <w:sz w:val="22"/>
          <w:szCs w:val="24"/>
        </w:rPr>
      </w:pPr>
      <w:r>
        <w:rPr>
          <w:rFonts w:cs="Calibri" w:asciiTheme="minorEastAsia" w:hAnsiTheme="minorEastAsia" w:eastAsiaTheme="minorEastAsia"/>
          <w:b/>
          <w:sz w:val="22"/>
          <w:szCs w:val="24"/>
        </w:rPr>
        <w:br w:type="page"/>
      </w:r>
    </w:p>
    <w:p>
      <w:pPr>
        <w:widowControl w:val="0"/>
        <w:spacing w:after="0" w:line="560" w:lineRule="exact"/>
        <w:ind w:left="0" w:firstLine="432" w:firstLineChars="200"/>
        <w:jc w:val="center"/>
        <w:rPr>
          <w:rFonts w:cs="Calibri" w:asciiTheme="minorEastAsia" w:hAnsiTheme="minorEastAsia" w:eastAsiaTheme="minorEastAsia"/>
          <w:b/>
          <w:sz w:val="22"/>
          <w:szCs w:val="24"/>
        </w:rPr>
      </w:pPr>
      <w:r>
        <w:rPr>
          <w:rFonts w:hint="eastAsia" w:cs="Calibri" w:asciiTheme="minorEastAsia" w:hAnsiTheme="minorEastAsia" w:eastAsiaTheme="minorEastAsia"/>
          <w:b/>
          <w:sz w:val="22"/>
          <w:szCs w:val="24"/>
        </w:rPr>
        <w:t>表3-</w:t>
      </w:r>
      <w:r>
        <w:rPr>
          <w:rFonts w:cs="Calibri" w:asciiTheme="minorEastAsia" w:hAnsiTheme="minorEastAsia" w:eastAsiaTheme="minorEastAsia"/>
          <w:b/>
          <w:sz w:val="22"/>
          <w:szCs w:val="24"/>
        </w:rPr>
        <w:t>11</w:t>
      </w:r>
      <w:r>
        <w:rPr>
          <w:rFonts w:hint="eastAsia" w:cs="Calibri" w:asciiTheme="minorEastAsia" w:hAnsiTheme="minorEastAsia" w:eastAsiaTheme="minorEastAsia"/>
          <w:b/>
          <w:sz w:val="22"/>
          <w:szCs w:val="24"/>
        </w:rPr>
        <w:t>工区主任隐患排查记录表</w:t>
      </w:r>
    </w:p>
    <w:tbl>
      <w:tblPr>
        <w:tblStyle w:val="30"/>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82"/>
        <w:gridCol w:w="6735"/>
        <w:gridCol w:w="13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blHeader/>
        </w:trPr>
        <w:tc>
          <w:tcPr>
            <w:tcW w:w="542" w:type="pct"/>
            <w:shd w:val="clear" w:color="000000" w:fill="F2F2F2"/>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部位</w:t>
            </w:r>
          </w:p>
        </w:tc>
        <w:tc>
          <w:tcPr>
            <w:tcW w:w="3717" w:type="pct"/>
            <w:shd w:val="clear" w:color="000000" w:fill="F2F2F2"/>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排查内容</w:t>
            </w:r>
          </w:p>
        </w:tc>
        <w:tc>
          <w:tcPr>
            <w:tcW w:w="741" w:type="pct"/>
            <w:shd w:val="clear" w:color="000000" w:fill="F2F2F2"/>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排查结果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院区安全</w:t>
            </w: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门岗24h值班，按规定进行来访登记。</w:t>
            </w:r>
          </w:p>
        </w:tc>
        <w:tc>
          <w:tcPr>
            <w:tcW w:w="741" w:type="pct"/>
            <w:vMerge w:val="restar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院墙结构物正常、照明良好。</w:t>
            </w:r>
          </w:p>
        </w:tc>
        <w:tc>
          <w:tcPr>
            <w:tcW w:w="741" w:type="pct"/>
            <w:vMerge w:val="continue"/>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restart"/>
            <w:shd w:val="clear" w:color="auto" w:fill="FFFFFF" w:themeFill="background1"/>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用电安全</w:t>
            </w: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办公楼及库房无私拉乱接现象。</w:t>
            </w:r>
          </w:p>
        </w:tc>
        <w:tc>
          <w:tcPr>
            <w:tcW w:w="741" w:type="pct"/>
            <w:vMerge w:val="restar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用电线路无裸露现象，宿舍内无大功率电器。</w:t>
            </w:r>
          </w:p>
        </w:tc>
        <w:tc>
          <w:tcPr>
            <w:tcW w:w="741" w:type="pct"/>
            <w:vMerge w:val="continue"/>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restart"/>
            <w:shd w:val="clear" w:color="auto" w:fill="FFFFFF" w:themeFill="background1"/>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消防安全</w:t>
            </w: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办公楼及设备用房消防器材配置齐全有效。</w:t>
            </w:r>
          </w:p>
        </w:tc>
        <w:tc>
          <w:tcPr>
            <w:tcW w:w="741" w:type="pct"/>
            <w:vMerge w:val="restar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消防通道及安全出口畅通。</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应急照明及疏散指示标志完好有效。</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cs="宋体" w:asciiTheme="minorEastAsia" w:hAnsiTheme="minorEastAsia" w:eastAsiaTheme="minorEastAsia"/>
                <w:kern w:val="0"/>
                <w:sz w:val="21"/>
                <w:szCs w:val="21"/>
              </w:rPr>
              <w:t>消防泵</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发电机等应急设备按规定测试</w:t>
            </w:r>
            <w:r>
              <w:rPr>
                <w:rFonts w:hint="eastAsia" w:cs="宋体" w:asciiTheme="minorEastAsia" w:hAnsiTheme="minorEastAsia" w:eastAsiaTheme="minorEastAsia"/>
                <w:kern w:val="0"/>
                <w:sz w:val="21"/>
                <w:szCs w:val="21"/>
              </w:rPr>
              <w:t>、</w:t>
            </w:r>
            <w:r>
              <w:rPr>
                <w:rFonts w:cs="宋体" w:asciiTheme="minorEastAsia" w:hAnsiTheme="minorEastAsia" w:eastAsiaTheme="minorEastAsia"/>
                <w:kern w:val="0"/>
                <w:sz w:val="21"/>
                <w:szCs w:val="21"/>
              </w:rPr>
              <w:t>维护保养</w:t>
            </w:r>
            <w:r>
              <w:rPr>
                <w:rFonts w:hint="eastAsia" w:cs="宋体" w:asciiTheme="minorEastAsia" w:hAnsiTheme="minorEastAsia" w:eastAsiaTheme="minorEastAsia"/>
                <w:kern w:val="0"/>
                <w:sz w:val="21"/>
                <w:szCs w:val="21"/>
              </w:rPr>
              <w:t>。</w:t>
            </w:r>
          </w:p>
        </w:tc>
        <w:tc>
          <w:tcPr>
            <w:tcW w:w="741" w:type="pct"/>
            <w:vMerge w:val="continue"/>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restart"/>
            <w:shd w:val="clear" w:color="auto" w:fill="FFFFFF" w:themeFill="background1"/>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设备及物资库房</w:t>
            </w: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养护车辆与设备按规定进行维修保养，技术状况良好。</w:t>
            </w:r>
          </w:p>
        </w:tc>
        <w:tc>
          <w:tcPr>
            <w:tcW w:w="741" w:type="pct"/>
            <w:vMerge w:val="restar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jc w:val="center"/>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养护设备上安全警示标识与安全防护设施齐全有效。</w:t>
            </w:r>
          </w:p>
        </w:tc>
        <w:tc>
          <w:tcPr>
            <w:tcW w:w="741" w:type="pct"/>
            <w:vMerge w:val="continue"/>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jc w:val="center"/>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设备及物资摆放整齐稳固。</w:t>
            </w:r>
          </w:p>
        </w:tc>
        <w:tc>
          <w:tcPr>
            <w:tcW w:w="741" w:type="pct"/>
            <w:vMerge w:val="continue"/>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库房整洁，易燃易爆物品分类存放得当。</w:t>
            </w:r>
            <w:r>
              <w:rPr>
                <w:rFonts w:cs="宋体" w:asciiTheme="minorEastAsia" w:hAnsiTheme="minorEastAsia" w:eastAsiaTheme="minorEastAsia"/>
                <w:kern w:val="0"/>
                <w:sz w:val="21"/>
                <w:szCs w:val="21"/>
              </w:rPr>
              <w:t xml:space="preserve"> </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restart"/>
            <w:shd w:val="clear" w:color="auto" w:fill="FFFFFF" w:themeFill="background1"/>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道路设施</w:t>
            </w: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路基平整坚实，无滑坡、水毁等现象。</w:t>
            </w:r>
          </w:p>
        </w:tc>
        <w:tc>
          <w:tcPr>
            <w:tcW w:w="741" w:type="pct"/>
            <w:vMerge w:val="restar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路面整洁，无洒落物、坑</w:t>
            </w:r>
            <w:r>
              <w:rPr>
                <w:rFonts w:hint="eastAsia" w:cs="宋体" w:asciiTheme="minorEastAsia" w:hAnsiTheme="minorEastAsia" w:eastAsiaTheme="minorEastAsia"/>
                <w:color w:val="000000" w:themeColor="text1"/>
                <w:kern w:val="0"/>
                <w:sz w:val="21"/>
                <w:szCs w:val="21"/>
              </w:rPr>
              <w:t>槽、明显桥头跳车等</w:t>
            </w:r>
            <w:r>
              <w:rPr>
                <w:rFonts w:hint="eastAsia" w:cs="宋体" w:asciiTheme="minorEastAsia" w:hAnsiTheme="minorEastAsia" w:eastAsiaTheme="minorEastAsia"/>
                <w:kern w:val="0"/>
                <w:sz w:val="21"/>
                <w:szCs w:val="21"/>
              </w:rPr>
              <w:t>现象。</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桥梁、隧道、边坡结构无异常变形,技术状况良好。</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护栏、防眩板、防落网、轮廓标、隔离栅等交安设施无缺损。</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标志、绿化等设施无倾斜、侵入道路限界、遮挡视距等影响交通安全现象。</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FFFFFF" w:themeFill="background1"/>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交通标志、标线无缺损，信息显示正确、清晰。</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公路安全保护区内无违规挖掘、搭建、堆物等行为。</w:t>
            </w:r>
          </w:p>
        </w:tc>
        <w:tc>
          <w:tcPr>
            <w:tcW w:w="741" w:type="pct"/>
            <w:vMerge w:val="continue"/>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restart"/>
            <w:shd w:val="clear" w:color="auto" w:fill="auto"/>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作业行为</w:t>
            </w: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按规定开展道路病害处置工作。</w:t>
            </w:r>
          </w:p>
        </w:tc>
        <w:tc>
          <w:tcPr>
            <w:tcW w:w="741" w:type="pct"/>
            <w:vMerge w:val="restar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spacing w:after="0" w:line="240" w:lineRule="auto"/>
              <w:ind w:left="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按规定开展岗前安全技术交底（培训）等工作。</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养护现场作业控制区设置符合《公路养护安全作业规程》规定。</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作业现场机械设备、临时用电及消防设备齐全，技术状况良好。</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养护机械设备、物资材料，标志标牌按规定摆放。</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作业人员无酒后、不穿反光服、不戴安全帽等违章行为。</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施工现场按规定配置安全员，安全员按规定检查。</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vMerge w:val="continue"/>
            <w:vAlign w:val="center"/>
          </w:tcPr>
          <w:p>
            <w:pPr>
              <w:spacing w:after="0" w:line="240" w:lineRule="auto"/>
              <w:ind w:left="0" w:firstLine="0"/>
              <w:rPr>
                <w:rFonts w:cs="宋体" w:asciiTheme="minorEastAsia" w:hAnsiTheme="minorEastAsia" w:eastAsiaTheme="minorEastAsia"/>
                <w:kern w:val="0"/>
                <w:sz w:val="21"/>
                <w:szCs w:val="21"/>
              </w:rPr>
            </w:pP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巡查人员按照规定进行巡查，其他人员按规定开展隐患排查治理工作。</w:t>
            </w:r>
          </w:p>
        </w:tc>
        <w:tc>
          <w:tcPr>
            <w:tcW w:w="741" w:type="pct"/>
            <w:vMerge w:val="continue"/>
            <w:shd w:val="clear" w:color="auto" w:fill="auto"/>
            <w:vAlign w:val="center"/>
          </w:tcPr>
          <w:p>
            <w:pPr>
              <w:spacing w:after="0" w:line="240" w:lineRule="auto"/>
              <w:ind w:left="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42" w:type="pct"/>
            <w:shd w:val="clear" w:color="auto" w:fill="auto"/>
            <w:vAlign w:val="center"/>
          </w:tcPr>
          <w:p>
            <w:pPr>
              <w:spacing w:after="0" w:line="240" w:lineRule="auto"/>
              <w:ind w:left="0" w:firstLine="0"/>
              <w:jc w:val="center"/>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其他</w:t>
            </w:r>
          </w:p>
        </w:tc>
        <w:tc>
          <w:tcPr>
            <w:tcW w:w="3717" w:type="pct"/>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tc>
        <w:tc>
          <w:tcPr>
            <w:tcW w:w="741" w:type="pct"/>
            <w:vMerge w:val="continue"/>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0" w:hRule="atLeast"/>
        </w:trPr>
        <w:tc>
          <w:tcPr>
            <w:tcW w:w="5000" w:type="pct"/>
            <w:gridSpan w:val="3"/>
            <w:shd w:val="clear" w:color="auto" w:fill="auto"/>
            <w:vAlign w:val="center"/>
          </w:tcPr>
          <w:p>
            <w:pPr>
              <w:spacing w:after="0" w:line="240" w:lineRule="auto"/>
              <w:ind w:left="0" w:firstLine="0"/>
              <w:rPr>
                <w:rFonts w:cs="宋体" w:asciiTheme="minorEastAsia" w:hAnsiTheme="minorEastAsia" w:eastAsiaTheme="minorEastAsia"/>
                <w:kern w:val="0"/>
                <w:sz w:val="21"/>
                <w:szCs w:val="21"/>
              </w:rPr>
            </w:pPr>
            <w:r>
              <w:rPr>
                <w:rFonts w:hint="eastAsia" w:ascii="宋体" w:hAnsi="宋体" w:eastAsia="宋体" w:cs="宋体"/>
                <w:kern w:val="0"/>
                <w:sz w:val="22"/>
              </w:rPr>
              <w:t>组织人：                      参加人员：                         日期:</w:t>
            </w:r>
          </w:p>
        </w:tc>
      </w:tr>
    </w:tbl>
    <w:p>
      <w:pPr>
        <w:widowControl w:val="0"/>
        <w:spacing w:after="0" w:line="560" w:lineRule="exact"/>
        <w:ind w:left="0" w:firstLine="432" w:firstLineChars="200"/>
        <w:jc w:val="center"/>
        <w:rPr>
          <w:rFonts w:cs="Calibri" w:asciiTheme="minorEastAsia" w:hAnsiTheme="minorEastAsia" w:eastAsiaTheme="minorEastAsia"/>
          <w:b/>
          <w:sz w:val="22"/>
          <w:szCs w:val="24"/>
        </w:rPr>
      </w:pPr>
    </w:p>
    <w:p>
      <w:pPr>
        <w:widowControl w:val="0"/>
        <w:spacing w:before="292" w:beforeLines="50" w:after="292" w:afterLines="50" w:line="560" w:lineRule="exact"/>
        <w:ind w:left="0" w:hanging="11"/>
        <w:outlineLvl w:val="1"/>
        <w:rPr>
          <w:rFonts w:cs="Calibri" w:asciiTheme="minorEastAsia" w:hAnsiTheme="minorEastAsia" w:eastAsiaTheme="minorEastAsia"/>
          <w:b/>
          <w:sz w:val="28"/>
          <w:szCs w:val="24"/>
        </w:rPr>
      </w:pPr>
      <w:bookmarkStart w:id="48" w:name="_Toc43030409"/>
      <w:r>
        <w:rPr>
          <w:rFonts w:cs="Calibri" w:asciiTheme="minorEastAsia" w:hAnsiTheme="minorEastAsia" w:eastAsiaTheme="minorEastAsia"/>
          <w:b/>
          <w:sz w:val="28"/>
          <w:szCs w:val="24"/>
        </w:rPr>
        <w:br w:type="page"/>
      </w:r>
      <w:bookmarkStart w:id="49" w:name="_Toc104720415"/>
      <w:bookmarkStart w:id="50" w:name="_Toc105769808"/>
      <w:r>
        <w:rPr>
          <w:rFonts w:hint="eastAsia" w:cs="Calibri" w:asciiTheme="minorEastAsia" w:hAnsiTheme="minorEastAsia" w:eastAsiaTheme="minorEastAsia"/>
          <w:b/>
          <w:sz w:val="28"/>
          <w:szCs w:val="24"/>
        </w:rPr>
        <w:t>3.3定期隐患排查</w:t>
      </w:r>
      <w:bookmarkEnd w:id="48"/>
      <w:r>
        <w:rPr>
          <w:rFonts w:hint="eastAsia" w:cs="Calibri" w:asciiTheme="minorEastAsia" w:hAnsiTheme="minorEastAsia" w:eastAsiaTheme="minorEastAsia"/>
          <w:b/>
          <w:sz w:val="28"/>
          <w:szCs w:val="24"/>
        </w:rPr>
        <w:t>记录</w:t>
      </w:r>
      <w:bookmarkEnd w:id="49"/>
      <w:bookmarkEnd w:id="50"/>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定期排查是指由公司主要负责人、分管负责人及相关部室，组织专业技术人员、安全管理人员或相关专家开展的涵盖全部生产经营环节、方面的隐患排查活动。定期排查可与领导包保检查、专家检查等安全检查活动合并开展。</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工程管理部每月开展安全生产专项检查（定期隐患排查）安全生产工作一次，主要排查道路基础设施、养护作业现场及养护施工单位安全管理情况。</w:t>
      </w:r>
    </w:p>
    <w:p>
      <w:pPr>
        <w:spacing w:after="0" w:line="240" w:lineRule="auto"/>
        <w:ind w:left="0" w:firstLine="0"/>
        <w:rPr>
          <w:rFonts w:cs="Calibri" w:asciiTheme="minorEastAsia" w:hAnsiTheme="minorEastAsia" w:eastAsiaTheme="minorEastAsia"/>
          <w:b/>
          <w:sz w:val="22"/>
          <w:szCs w:val="24"/>
        </w:rPr>
      </w:pPr>
      <w:r>
        <w:rPr>
          <w:rFonts w:cs="Calibri" w:asciiTheme="minorEastAsia" w:hAnsiTheme="minorEastAsia" w:eastAsiaTheme="minorEastAsia"/>
          <w:b/>
          <w:sz w:val="22"/>
          <w:szCs w:val="24"/>
        </w:rPr>
        <w:br w:type="page"/>
      </w:r>
    </w:p>
    <w:p>
      <w:pPr>
        <w:widowControl w:val="0"/>
        <w:spacing w:after="0" w:line="560" w:lineRule="exact"/>
        <w:ind w:left="0" w:firstLine="432" w:firstLineChars="200"/>
        <w:jc w:val="center"/>
        <w:rPr>
          <w:rFonts w:cs="Calibri" w:asciiTheme="minorEastAsia" w:hAnsiTheme="minorEastAsia" w:eastAsiaTheme="minorEastAsia"/>
          <w:b/>
          <w:sz w:val="22"/>
          <w:szCs w:val="24"/>
        </w:rPr>
      </w:pPr>
      <w:r>
        <w:rPr>
          <w:rFonts w:hint="eastAsia" w:cs="Calibri" w:asciiTheme="minorEastAsia" w:hAnsiTheme="minorEastAsia" w:eastAsiaTheme="minorEastAsia"/>
          <w:b/>
          <w:sz w:val="22"/>
          <w:szCs w:val="24"/>
        </w:rPr>
        <w:t>表3-</w:t>
      </w:r>
      <w:r>
        <w:rPr>
          <w:rFonts w:cs="Calibri" w:asciiTheme="minorEastAsia" w:hAnsiTheme="minorEastAsia" w:eastAsiaTheme="minorEastAsia"/>
          <w:b/>
          <w:sz w:val="22"/>
          <w:szCs w:val="24"/>
        </w:rPr>
        <w:t>12</w:t>
      </w:r>
      <w:r>
        <w:rPr>
          <w:rFonts w:hint="eastAsia" w:cs="Calibri" w:asciiTheme="minorEastAsia" w:hAnsiTheme="minorEastAsia" w:eastAsiaTheme="minorEastAsia"/>
          <w:b/>
          <w:sz w:val="22"/>
          <w:szCs w:val="24"/>
        </w:rPr>
        <w:t xml:space="preserve"> 公司级隐患排查记录表</w:t>
      </w:r>
    </w:p>
    <w:p>
      <w:pPr>
        <w:widowControl w:val="0"/>
        <w:autoSpaceDE w:val="0"/>
        <w:autoSpaceDN w:val="0"/>
        <w:snapToGrid w:val="0"/>
        <w:spacing w:before="39" w:after="149" w:line="240" w:lineRule="auto"/>
        <w:ind w:left="2002" w:right="2007" w:firstLine="0"/>
        <w:jc w:val="center"/>
        <w:textAlignment w:val="baseline"/>
        <w:rPr>
          <w:rFonts w:asciiTheme="minorEastAsia" w:hAnsiTheme="minorEastAsia" w:eastAsiaTheme="minorEastAsia"/>
          <w:b/>
          <w:color w:val="auto"/>
          <w:kern w:val="0"/>
          <w:sz w:val="28"/>
          <w:lang w:val="zh-CN" w:bidi="zh-CN"/>
        </w:rPr>
      </w:pPr>
      <w:bookmarkStart w:id="51" w:name="_Toc43030410"/>
      <w:r>
        <w:rPr>
          <w:rFonts w:hint="eastAsia" w:cs="方正小标宋简体" w:asciiTheme="minorEastAsia" w:hAnsiTheme="minorEastAsia" w:eastAsiaTheme="minorEastAsia"/>
          <w:b/>
          <w:color w:val="auto"/>
          <w:kern w:val="0"/>
          <w:sz w:val="32"/>
          <w:szCs w:val="32"/>
          <w:lang w:val="zh-CN" w:bidi="zh-CN"/>
        </w:rPr>
        <w:t>安全检查记录表</w:t>
      </w:r>
    </w:p>
    <w:p>
      <w:pPr>
        <w:widowControl w:val="0"/>
        <w:tabs>
          <w:tab w:val="left" w:pos="5471"/>
        </w:tabs>
        <w:autoSpaceDE w:val="0"/>
        <w:autoSpaceDN w:val="0"/>
        <w:snapToGrid w:val="0"/>
        <w:spacing w:before="1" w:after="0" w:line="240" w:lineRule="auto"/>
        <w:ind w:left="0" w:firstLine="0"/>
        <w:textAlignment w:val="baseline"/>
        <w:rPr>
          <w:rFonts w:asciiTheme="minorEastAsia" w:hAnsiTheme="minorEastAsia" w:eastAsiaTheme="minorEastAsia"/>
          <w:color w:val="auto"/>
          <w:kern w:val="0"/>
          <w:sz w:val="21"/>
          <w:szCs w:val="21"/>
          <w:lang w:val="zh-CN" w:bidi="zh-CN"/>
        </w:rPr>
      </w:pPr>
      <w:r>
        <w:rPr>
          <w:rFonts w:hint="eastAsia" w:asciiTheme="minorEastAsia" w:hAnsiTheme="minorEastAsia" w:eastAsiaTheme="minorEastAsia"/>
          <w:color w:val="auto"/>
          <w:kern w:val="0"/>
          <w:sz w:val="21"/>
          <w:szCs w:val="21"/>
          <w:lang w:val="zh-CN" w:bidi="zh-CN"/>
        </w:rPr>
        <w:t>检查日期:      年    月    日</w:t>
      </w:r>
      <w:r>
        <w:rPr>
          <w:rFonts w:hint="eastAsia" w:asciiTheme="minorEastAsia" w:hAnsiTheme="minorEastAsia" w:eastAsiaTheme="minorEastAsia"/>
          <w:color w:val="auto"/>
          <w:kern w:val="0"/>
          <w:sz w:val="21"/>
          <w:szCs w:val="21"/>
          <w:lang w:val="zh-CN" w:bidi="zh-CN"/>
        </w:rPr>
        <w:tab/>
      </w:r>
    </w:p>
    <w:p>
      <w:pPr>
        <w:widowControl w:val="0"/>
        <w:autoSpaceDE w:val="0"/>
        <w:autoSpaceDN w:val="0"/>
        <w:snapToGrid w:val="0"/>
        <w:spacing w:before="2" w:after="0" w:line="240" w:lineRule="auto"/>
        <w:ind w:left="357" w:firstLine="480"/>
        <w:textAlignment w:val="baseline"/>
        <w:rPr>
          <w:rFonts w:asciiTheme="minorEastAsia" w:hAnsiTheme="minorEastAsia" w:eastAsiaTheme="minorEastAsia"/>
          <w:color w:val="auto"/>
          <w:kern w:val="0"/>
          <w:sz w:val="5"/>
          <w:szCs w:val="24"/>
          <w:lang w:val="zh-CN" w:bidi="zh-CN"/>
        </w:rPr>
      </w:pPr>
    </w:p>
    <w:tbl>
      <w:tblPr>
        <w:tblStyle w:val="30"/>
        <w:tblW w:w="9121" w:type="dxa"/>
        <w:tblInd w:w="-5"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0" w:type="dxa"/>
          <w:bottom w:w="0" w:type="dxa"/>
          <w:right w:w="0" w:type="dxa"/>
        </w:tblCellMar>
      </w:tblPr>
      <w:tblGrid>
        <w:gridCol w:w="599"/>
        <w:gridCol w:w="814"/>
        <w:gridCol w:w="356"/>
        <w:gridCol w:w="2054"/>
        <w:gridCol w:w="567"/>
        <w:gridCol w:w="4731"/>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768" w:hRule="atLeast"/>
        </w:trPr>
        <w:tc>
          <w:tcPr>
            <w:tcW w:w="1769" w:type="dxa"/>
            <w:gridSpan w:val="3"/>
            <w:vAlign w:val="center"/>
          </w:tcPr>
          <w:p>
            <w:pPr>
              <w:widowControl w:val="0"/>
              <w:autoSpaceDE w:val="0"/>
              <w:autoSpaceDN w:val="0"/>
              <w:snapToGrid w:val="0"/>
              <w:spacing w:before="4" w:after="0" w:line="240" w:lineRule="auto"/>
              <w:ind w:left="0" w:firstLine="0"/>
              <w:jc w:val="center"/>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被检单位</w:t>
            </w:r>
          </w:p>
        </w:tc>
        <w:tc>
          <w:tcPr>
            <w:tcW w:w="7352" w:type="dxa"/>
            <w:gridSpan w:val="3"/>
            <w:vAlign w:val="center"/>
          </w:tcPr>
          <w:p>
            <w:pPr>
              <w:widowControl w:val="0"/>
              <w:autoSpaceDE w:val="0"/>
              <w:autoSpaceDN w:val="0"/>
              <w:snapToGrid w:val="0"/>
              <w:spacing w:after="0" w:line="240" w:lineRule="auto"/>
              <w:ind w:left="0" w:firstLine="0"/>
              <w:jc w:val="center"/>
              <w:textAlignment w:val="baseline"/>
              <w:rPr>
                <w:rFonts w:asciiTheme="minorEastAsia" w:hAnsiTheme="minorEastAsia" w:eastAsiaTheme="minorEastAsia"/>
                <w:color w:val="auto"/>
                <w:sz w:val="21"/>
                <w:szCs w:val="21"/>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835" w:hRule="atLeast"/>
        </w:trPr>
        <w:tc>
          <w:tcPr>
            <w:tcW w:w="1769" w:type="dxa"/>
            <w:gridSpan w:val="3"/>
            <w:vAlign w:val="center"/>
          </w:tcPr>
          <w:p>
            <w:pPr>
              <w:widowControl w:val="0"/>
              <w:autoSpaceDE w:val="0"/>
              <w:autoSpaceDN w:val="0"/>
              <w:snapToGrid w:val="0"/>
              <w:spacing w:before="4" w:after="0" w:line="240" w:lineRule="auto"/>
              <w:ind w:left="0" w:firstLine="0"/>
              <w:jc w:val="center"/>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带队领导</w:t>
            </w:r>
          </w:p>
        </w:tc>
        <w:tc>
          <w:tcPr>
            <w:tcW w:w="2054" w:type="dxa"/>
            <w:vAlign w:val="center"/>
          </w:tcPr>
          <w:p>
            <w:pPr>
              <w:widowControl w:val="0"/>
              <w:autoSpaceDE w:val="0"/>
              <w:autoSpaceDN w:val="0"/>
              <w:snapToGrid w:val="0"/>
              <w:spacing w:before="4" w:after="0" w:line="240" w:lineRule="auto"/>
              <w:ind w:left="0" w:firstLine="0"/>
              <w:jc w:val="center"/>
              <w:textAlignment w:val="baseline"/>
              <w:rPr>
                <w:rFonts w:asciiTheme="minorEastAsia" w:hAnsiTheme="minorEastAsia" w:eastAsiaTheme="minorEastAsia"/>
                <w:color w:val="auto"/>
                <w:sz w:val="21"/>
                <w:szCs w:val="21"/>
                <w:lang w:val="zh-CN" w:bidi="zh-CN"/>
              </w:rPr>
            </w:pPr>
          </w:p>
        </w:tc>
        <w:tc>
          <w:tcPr>
            <w:tcW w:w="567" w:type="dxa"/>
            <w:vAlign w:val="center"/>
          </w:tcPr>
          <w:p>
            <w:pPr>
              <w:widowControl w:val="0"/>
              <w:autoSpaceDE w:val="0"/>
              <w:autoSpaceDN w:val="0"/>
              <w:snapToGrid w:val="0"/>
              <w:spacing w:before="4" w:after="0" w:line="240" w:lineRule="auto"/>
              <w:ind w:left="0" w:firstLine="0"/>
              <w:jc w:val="center"/>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检查成员</w:t>
            </w:r>
          </w:p>
        </w:tc>
        <w:tc>
          <w:tcPr>
            <w:tcW w:w="4731" w:type="dxa"/>
            <w:vAlign w:val="center"/>
          </w:tcPr>
          <w:p>
            <w:pPr>
              <w:widowControl w:val="0"/>
              <w:autoSpaceDE w:val="0"/>
              <w:autoSpaceDN w:val="0"/>
              <w:snapToGrid w:val="0"/>
              <w:spacing w:after="0" w:line="240" w:lineRule="auto"/>
              <w:ind w:left="0" w:firstLine="0"/>
              <w:jc w:val="center"/>
              <w:textAlignment w:val="baseline"/>
              <w:rPr>
                <w:rFonts w:asciiTheme="minorEastAsia" w:hAnsiTheme="minorEastAsia" w:eastAsiaTheme="minorEastAsia"/>
                <w:color w:val="auto"/>
                <w:sz w:val="21"/>
                <w:szCs w:val="21"/>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907" w:hRule="atLeast"/>
        </w:trPr>
        <w:tc>
          <w:tcPr>
            <w:tcW w:w="1769" w:type="dxa"/>
            <w:gridSpan w:val="3"/>
            <w:vAlign w:val="center"/>
          </w:tcPr>
          <w:p>
            <w:pPr>
              <w:widowControl w:val="0"/>
              <w:autoSpaceDE w:val="0"/>
              <w:autoSpaceDN w:val="0"/>
              <w:snapToGrid w:val="0"/>
              <w:spacing w:before="4" w:after="0" w:line="240" w:lineRule="auto"/>
              <w:ind w:left="0" w:firstLine="0"/>
              <w:jc w:val="center"/>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检查类型</w:t>
            </w:r>
          </w:p>
        </w:tc>
        <w:tc>
          <w:tcPr>
            <w:tcW w:w="7352" w:type="dxa"/>
            <w:gridSpan w:val="3"/>
            <w:vAlign w:val="center"/>
          </w:tcPr>
          <w:p>
            <w:pPr>
              <w:widowControl w:val="0"/>
              <w:tabs>
                <w:tab w:val="left" w:pos="2835"/>
              </w:tabs>
              <w:autoSpaceDE w:val="0"/>
              <w:autoSpaceDN w:val="0"/>
              <w:snapToGrid w:val="0"/>
              <w:spacing w:before="153" w:after="0" w:line="240" w:lineRule="auto"/>
              <w:ind w:left="0" w:firstLine="412" w:firstLineChars="200"/>
              <w:jc w:val="both"/>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□定期检查       □突击检查、暗查暗访</w:t>
            </w:r>
          </w:p>
          <w:p>
            <w:pPr>
              <w:widowControl w:val="0"/>
              <w:autoSpaceDE w:val="0"/>
              <w:autoSpaceDN w:val="0"/>
              <w:snapToGrid w:val="0"/>
              <w:spacing w:after="0" w:line="240" w:lineRule="auto"/>
              <w:ind w:left="0" w:firstLine="412" w:firstLineChars="20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□包联检查</w:t>
            </w:r>
            <w:r>
              <w:rPr>
                <w:rFonts w:hint="eastAsia" w:asciiTheme="minorEastAsia" w:hAnsiTheme="minorEastAsia" w:eastAsiaTheme="minorEastAsia"/>
                <w:color w:val="auto"/>
                <w:sz w:val="21"/>
                <w:szCs w:val="21"/>
                <w:lang w:val="zh-CN" w:bidi="zh-CN"/>
              </w:rPr>
              <w:tab/>
            </w:r>
            <w:r>
              <w:rPr>
                <w:rFonts w:asciiTheme="minorEastAsia" w:hAnsiTheme="minorEastAsia" w:eastAsiaTheme="minorEastAsia"/>
                <w:color w:val="auto"/>
                <w:sz w:val="21"/>
                <w:szCs w:val="21"/>
                <w:lang w:val="zh-CN" w:bidi="zh-CN"/>
              </w:rPr>
              <w:t xml:space="preserve">     </w:t>
            </w:r>
            <w:r>
              <w:rPr>
                <w:rFonts w:hint="eastAsia" w:asciiTheme="minorEastAsia" w:hAnsiTheme="minorEastAsia" w:eastAsiaTheme="minorEastAsia"/>
                <w:color w:val="auto"/>
                <w:sz w:val="21"/>
                <w:szCs w:val="21"/>
                <w:lang w:val="zh-CN" w:bidi="zh-CN"/>
              </w:rPr>
              <w:t>□其他检查</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643" w:hRule="atLeast"/>
        </w:trPr>
        <w:tc>
          <w:tcPr>
            <w:tcW w:w="599" w:type="dxa"/>
            <w:vMerge w:val="restart"/>
            <w:vAlign w:val="center"/>
          </w:tcPr>
          <w:p>
            <w:pPr>
              <w:widowControl w:val="0"/>
              <w:autoSpaceDE w:val="0"/>
              <w:autoSpaceDN w:val="0"/>
              <w:snapToGrid w:val="0"/>
              <w:spacing w:after="0" w:line="372" w:lineRule="auto"/>
              <w:ind w:left="173" w:right="165" w:firstLine="0"/>
              <w:jc w:val="both"/>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安全检查记录</w:t>
            </w:r>
          </w:p>
        </w:tc>
        <w:tc>
          <w:tcPr>
            <w:tcW w:w="8522" w:type="dxa"/>
            <w:gridSpan w:val="5"/>
            <w:vAlign w:val="center"/>
          </w:tcPr>
          <w:p>
            <w:pPr>
              <w:widowControl w:val="0"/>
              <w:autoSpaceDE w:val="0"/>
              <w:autoSpaceDN w:val="0"/>
              <w:snapToGrid w:val="0"/>
              <w:spacing w:after="0" w:line="240" w:lineRule="auto"/>
              <w:ind w:left="0"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检查过程与内容：</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599" w:type="dxa"/>
            <w:vMerge w:val="continue"/>
            <w:vAlign w:val="center"/>
          </w:tcPr>
          <w:p>
            <w:pPr>
              <w:widowControl w:val="0"/>
              <w:autoSpaceDE w:val="0"/>
              <w:autoSpaceDN w:val="0"/>
              <w:snapToGrid w:val="0"/>
              <w:spacing w:after="0" w:line="240" w:lineRule="auto"/>
              <w:ind w:left="0" w:firstLine="0"/>
              <w:textAlignment w:val="baseline"/>
              <w:rPr>
                <w:rFonts w:asciiTheme="minorEastAsia" w:hAnsiTheme="minorEastAsia" w:eastAsiaTheme="minorEastAsia"/>
                <w:color w:val="auto"/>
                <w:sz w:val="21"/>
                <w:szCs w:val="21"/>
                <w:lang w:val="zh-CN" w:bidi="zh-CN"/>
              </w:rPr>
            </w:pPr>
          </w:p>
        </w:tc>
        <w:tc>
          <w:tcPr>
            <w:tcW w:w="814" w:type="dxa"/>
            <w:vMerge w:val="restart"/>
            <w:vAlign w:val="center"/>
          </w:tcPr>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基础安全管理</w:t>
            </w:r>
          </w:p>
        </w:tc>
        <w:tc>
          <w:tcPr>
            <w:tcW w:w="7708" w:type="dxa"/>
            <w:gridSpan w:val="4"/>
            <w:vAlign w:val="center"/>
          </w:tcPr>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安全生产目标与计划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安全生产管理机构及人员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安全生产责任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安全生产管理制度及操作规程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安全生产投入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安全教育培训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安全风险管理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安全检查与隐患排查治理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职业健康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安全文化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应急管理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事故报告与处理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科技信息化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相关方管理□涉及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其他：</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2400" w:hRule="atLeast"/>
        </w:trPr>
        <w:tc>
          <w:tcPr>
            <w:tcW w:w="599" w:type="dxa"/>
            <w:vMerge w:val="continue"/>
            <w:vAlign w:val="center"/>
          </w:tcPr>
          <w:p>
            <w:pPr>
              <w:widowControl w:val="0"/>
              <w:autoSpaceDE w:val="0"/>
              <w:autoSpaceDN w:val="0"/>
              <w:snapToGrid w:val="0"/>
              <w:spacing w:after="0" w:line="240" w:lineRule="auto"/>
              <w:ind w:left="0" w:firstLine="0"/>
              <w:textAlignment w:val="baseline"/>
              <w:rPr>
                <w:rFonts w:asciiTheme="minorEastAsia" w:hAnsiTheme="minorEastAsia" w:eastAsiaTheme="minorEastAsia"/>
                <w:color w:val="auto"/>
                <w:sz w:val="21"/>
                <w:szCs w:val="21"/>
                <w:lang w:val="zh-CN" w:bidi="zh-CN"/>
              </w:rPr>
            </w:pPr>
          </w:p>
        </w:tc>
        <w:tc>
          <w:tcPr>
            <w:tcW w:w="814" w:type="dxa"/>
            <w:vMerge w:val="continue"/>
            <w:vAlign w:val="center"/>
          </w:tcPr>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p>
        </w:tc>
        <w:tc>
          <w:tcPr>
            <w:tcW w:w="7708" w:type="dxa"/>
            <w:gridSpan w:val="4"/>
          </w:tcPr>
          <w:p>
            <w:pPr>
              <w:widowControl w:val="0"/>
              <w:autoSpaceDE w:val="0"/>
              <w:autoSpaceDN w:val="0"/>
              <w:snapToGrid w:val="0"/>
              <w:spacing w:after="0" w:line="240" w:lineRule="auto"/>
              <w:ind w:left="57"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存在问题：</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539" w:hRule="atLeast"/>
        </w:trPr>
        <w:tc>
          <w:tcPr>
            <w:tcW w:w="599" w:type="dxa"/>
            <w:vMerge w:val="continue"/>
            <w:vAlign w:val="center"/>
          </w:tcPr>
          <w:p>
            <w:pPr>
              <w:widowControl w:val="0"/>
              <w:autoSpaceDE w:val="0"/>
              <w:autoSpaceDN w:val="0"/>
              <w:snapToGrid w:val="0"/>
              <w:spacing w:after="0" w:line="240" w:lineRule="auto"/>
              <w:ind w:left="0" w:firstLine="0"/>
              <w:textAlignment w:val="baseline"/>
              <w:rPr>
                <w:rFonts w:asciiTheme="minorEastAsia" w:hAnsiTheme="minorEastAsia" w:eastAsiaTheme="minorEastAsia"/>
                <w:color w:val="auto"/>
                <w:sz w:val="21"/>
                <w:szCs w:val="21"/>
                <w:lang w:val="zh-CN" w:bidi="zh-CN"/>
              </w:rPr>
            </w:pPr>
          </w:p>
        </w:tc>
        <w:tc>
          <w:tcPr>
            <w:tcW w:w="814" w:type="dxa"/>
            <w:vAlign w:val="center"/>
          </w:tcPr>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现场安全管理</w:t>
            </w:r>
          </w:p>
        </w:tc>
        <w:tc>
          <w:tcPr>
            <w:tcW w:w="7708" w:type="dxa"/>
            <w:gridSpan w:val="4"/>
            <w:vAlign w:val="center"/>
          </w:tcPr>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土建结构安全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交通工程及安全设施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设备设施与物资材料安全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作业现场安全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作业行为安全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消防安全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用电安全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疫情防控与食品安全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交通安全 □涉及 □不涉及</w:t>
            </w:r>
          </w:p>
          <w:p>
            <w:pPr>
              <w:widowControl w:val="0"/>
              <w:autoSpaceDE w:val="0"/>
              <w:autoSpaceDN w:val="0"/>
              <w:snapToGrid w:val="0"/>
              <w:spacing w:before="150"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其他：</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4824" w:hRule="atLeast"/>
        </w:trPr>
        <w:tc>
          <w:tcPr>
            <w:tcW w:w="599" w:type="dxa"/>
            <w:vMerge w:val="continue"/>
            <w:vAlign w:val="center"/>
          </w:tcPr>
          <w:p>
            <w:pPr>
              <w:widowControl w:val="0"/>
              <w:autoSpaceDE w:val="0"/>
              <w:autoSpaceDN w:val="0"/>
              <w:snapToGrid w:val="0"/>
              <w:spacing w:after="0" w:line="240" w:lineRule="auto"/>
              <w:ind w:left="0" w:firstLine="0"/>
              <w:textAlignment w:val="baseline"/>
              <w:rPr>
                <w:rFonts w:asciiTheme="minorEastAsia" w:hAnsiTheme="minorEastAsia" w:eastAsiaTheme="minorEastAsia"/>
                <w:color w:val="auto"/>
                <w:sz w:val="21"/>
                <w:szCs w:val="21"/>
                <w:lang w:val="zh-CN" w:bidi="zh-CN"/>
              </w:rPr>
            </w:pPr>
          </w:p>
        </w:tc>
        <w:tc>
          <w:tcPr>
            <w:tcW w:w="8522" w:type="dxa"/>
            <w:gridSpan w:val="5"/>
          </w:tcPr>
          <w:p>
            <w:pPr>
              <w:widowControl w:val="0"/>
              <w:autoSpaceDE w:val="0"/>
              <w:autoSpaceDN w:val="0"/>
              <w:snapToGrid w:val="0"/>
              <w:spacing w:after="0" w:line="240" w:lineRule="auto"/>
              <w:ind w:left="108" w:firstLine="0"/>
              <w:textAlignment w:val="baseline"/>
              <w:rPr>
                <w:rFonts w:asciiTheme="minorEastAsia" w:hAnsiTheme="minorEastAsia" w:eastAsiaTheme="minorEastAsia"/>
                <w:color w:val="auto"/>
                <w:sz w:val="21"/>
                <w:szCs w:val="21"/>
                <w:lang w:val="zh-CN" w:bidi="zh-CN"/>
              </w:rPr>
            </w:pPr>
            <w:r>
              <w:rPr>
                <w:rFonts w:hint="eastAsia" w:asciiTheme="minorEastAsia" w:hAnsiTheme="minorEastAsia" w:eastAsiaTheme="minorEastAsia"/>
                <w:color w:val="auto"/>
                <w:sz w:val="21"/>
                <w:szCs w:val="21"/>
                <w:lang w:val="zh-CN" w:bidi="zh-CN"/>
              </w:rPr>
              <w:t>存在问题：</w:t>
            </w:r>
          </w:p>
        </w:tc>
      </w:tr>
    </w:tbl>
    <w:p>
      <w:pPr>
        <w:widowControl w:val="0"/>
        <w:autoSpaceDE w:val="0"/>
        <w:autoSpaceDN w:val="0"/>
        <w:snapToGrid w:val="0"/>
        <w:spacing w:after="0" w:line="400" w:lineRule="exact"/>
        <w:ind w:left="0" w:firstLine="0"/>
        <w:textAlignment w:val="baseline"/>
        <w:rPr>
          <w:rFonts w:asciiTheme="minorEastAsia" w:hAnsiTheme="minorEastAsia" w:eastAsiaTheme="minorEastAsia"/>
          <w:color w:val="auto"/>
          <w:spacing w:val="-5"/>
          <w:w w:val="95"/>
          <w:kern w:val="0"/>
          <w:sz w:val="21"/>
          <w:szCs w:val="21"/>
          <w:lang w:val="zh-CN" w:bidi="zh-CN"/>
        </w:rPr>
      </w:pPr>
      <w:r>
        <w:rPr>
          <w:rFonts w:hint="eastAsia" w:asciiTheme="minorEastAsia" w:hAnsiTheme="minorEastAsia" w:eastAsiaTheme="minorEastAsia"/>
          <w:color w:val="auto"/>
          <w:spacing w:val="-5"/>
          <w:w w:val="95"/>
          <w:kern w:val="0"/>
          <w:sz w:val="21"/>
          <w:szCs w:val="21"/>
          <w:lang w:val="zh-CN" w:bidi="zh-CN"/>
        </w:rPr>
        <w:t>注：</w:t>
      </w:r>
    </w:p>
    <w:p>
      <w:pPr>
        <w:widowControl w:val="0"/>
        <w:autoSpaceDE w:val="0"/>
        <w:autoSpaceDN w:val="0"/>
        <w:snapToGrid w:val="0"/>
        <w:spacing w:after="0" w:line="400" w:lineRule="exact"/>
        <w:ind w:left="0" w:firstLine="0"/>
        <w:textAlignment w:val="baseline"/>
        <w:rPr>
          <w:rFonts w:asciiTheme="minorEastAsia" w:hAnsiTheme="minorEastAsia" w:eastAsiaTheme="minorEastAsia"/>
          <w:color w:val="auto"/>
          <w:spacing w:val="-5"/>
          <w:w w:val="95"/>
          <w:kern w:val="0"/>
          <w:sz w:val="21"/>
          <w:szCs w:val="21"/>
          <w:lang w:val="zh-CN" w:bidi="zh-CN"/>
        </w:rPr>
      </w:pPr>
      <w:r>
        <w:rPr>
          <w:rFonts w:hint="eastAsia" w:asciiTheme="minorEastAsia" w:hAnsiTheme="minorEastAsia" w:eastAsiaTheme="minorEastAsia"/>
          <w:color w:val="auto"/>
          <w:spacing w:val="-3"/>
          <w:kern w:val="0"/>
          <w:sz w:val="21"/>
          <w:szCs w:val="21"/>
          <w:lang w:val="zh-CN" w:bidi="zh-CN"/>
        </w:rPr>
        <w:t>1</w:t>
      </w:r>
      <w:r>
        <w:rPr>
          <w:rFonts w:asciiTheme="minorEastAsia" w:hAnsiTheme="minorEastAsia" w:eastAsiaTheme="minorEastAsia"/>
          <w:color w:val="auto"/>
          <w:spacing w:val="-3"/>
          <w:kern w:val="0"/>
          <w:sz w:val="21"/>
          <w:szCs w:val="21"/>
          <w:lang w:val="zh-CN" w:bidi="zh-CN"/>
        </w:rPr>
        <w:t>.本表正反面打印</w:t>
      </w:r>
      <w:r>
        <w:rPr>
          <w:rFonts w:hint="eastAsia" w:asciiTheme="minorEastAsia" w:hAnsiTheme="minorEastAsia" w:eastAsiaTheme="minorEastAsia"/>
          <w:color w:val="auto"/>
          <w:spacing w:val="-3"/>
          <w:kern w:val="0"/>
          <w:sz w:val="21"/>
          <w:szCs w:val="21"/>
          <w:lang w:val="zh-CN" w:bidi="zh-CN"/>
        </w:rPr>
        <w:t>。</w:t>
      </w:r>
    </w:p>
    <w:p>
      <w:pPr>
        <w:widowControl w:val="0"/>
        <w:autoSpaceDE w:val="0"/>
        <w:autoSpaceDN w:val="0"/>
        <w:snapToGrid w:val="0"/>
        <w:spacing w:after="0" w:line="400" w:lineRule="exact"/>
        <w:ind w:left="0" w:firstLine="0"/>
        <w:textAlignment w:val="baseline"/>
        <w:rPr>
          <w:rFonts w:asciiTheme="minorEastAsia" w:hAnsiTheme="minorEastAsia" w:eastAsiaTheme="minorEastAsia"/>
          <w:color w:val="auto"/>
          <w:spacing w:val="-3"/>
          <w:kern w:val="0"/>
          <w:sz w:val="21"/>
          <w:szCs w:val="21"/>
          <w:lang w:val="zh-CN" w:bidi="zh-CN"/>
        </w:rPr>
      </w:pPr>
      <w:r>
        <w:rPr>
          <w:rFonts w:asciiTheme="minorEastAsia" w:hAnsiTheme="minorEastAsia" w:eastAsiaTheme="minorEastAsia"/>
          <w:color w:val="auto"/>
          <w:spacing w:val="-5"/>
          <w:w w:val="95"/>
          <w:kern w:val="0"/>
          <w:sz w:val="21"/>
          <w:szCs w:val="21"/>
          <w:lang w:val="zh-CN" w:bidi="zh-CN"/>
        </w:rPr>
        <w:t>2.</w:t>
      </w:r>
      <w:r>
        <w:rPr>
          <w:rFonts w:hint="eastAsia" w:asciiTheme="minorEastAsia" w:hAnsiTheme="minorEastAsia" w:eastAsiaTheme="minorEastAsia"/>
          <w:color w:val="auto"/>
          <w:spacing w:val="-3"/>
          <w:w w:val="95"/>
          <w:kern w:val="0"/>
          <w:sz w:val="21"/>
          <w:szCs w:val="21"/>
          <w:lang w:val="zh-CN" w:bidi="zh-CN"/>
        </w:rPr>
        <w:t>本表为公</w:t>
      </w:r>
      <w:r>
        <w:rPr>
          <w:rFonts w:hint="eastAsia" w:asciiTheme="minorEastAsia" w:hAnsiTheme="minorEastAsia" w:eastAsiaTheme="minorEastAsia"/>
          <w:color w:val="auto"/>
          <w:spacing w:val="-3"/>
          <w:kern w:val="0"/>
          <w:sz w:val="21"/>
          <w:szCs w:val="21"/>
          <w:lang w:val="zh-CN" w:bidi="zh-CN"/>
        </w:rPr>
        <w:t>司主要负责人、分管负责人、工程总监、运营总监、安全总监，以及安全管理部、工程管理部、工程管理二部、工程管理三部、运营管理部、综合办公室等相关业务部室检查时使用。各基层单位不用此表，仅按规定程序填写隐患排查治理记录即可。</w:t>
      </w:r>
    </w:p>
    <w:p>
      <w:pPr>
        <w:widowControl w:val="0"/>
        <w:autoSpaceDE w:val="0"/>
        <w:autoSpaceDN w:val="0"/>
        <w:snapToGrid w:val="0"/>
        <w:spacing w:after="0" w:line="400" w:lineRule="exact"/>
        <w:ind w:left="0" w:firstLine="0"/>
        <w:textAlignment w:val="baseline"/>
        <w:rPr>
          <w:rFonts w:cs="Calibri" w:asciiTheme="minorEastAsia" w:hAnsiTheme="minorEastAsia" w:eastAsiaTheme="minorEastAsia"/>
          <w:b/>
          <w:sz w:val="28"/>
          <w:szCs w:val="24"/>
        </w:rPr>
      </w:pPr>
      <w:r>
        <w:rPr>
          <w:rFonts w:asciiTheme="minorEastAsia" w:hAnsiTheme="minorEastAsia" w:eastAsiaTheme="minorEastAsia"/>
          <w:color w:val="auto"/>
          <w:spacing w:val="-3"/>
          <w:kern w:val="0"/>
          <w:sz w:val="21"/>
          <w:szCs w:val="21"/>
          <w:lang w:val="zh-CN" w:bidi="zh-CN"/>
        </w:rPr>
        <w:t>3.安全检查表格原始记录由相关业务部室自我留存</w:t>
      </w:r>
      <w:r>
        <w:rPr>
          <w:rFonts w:hint="eastAsia" w:asciiTheme="minorEastAsia" w:hAnsiTheme="minorEastAsia" w:eastAsiaTheme="minorEastAsia"/>
          <w:color w:val="auto"/>
          <w:spacing w:val="-3"/>
          <w:kern w:val="0"/>
          <w:sz w:val="21"/>
          <w:szCs w:val="21"/>
          <w:lang w:val="zh-CN" w:bidi="zh-CN"/>
        </w:rPr>
        <w:t>，</w:t>
      </w:r>
      <w:r>
        <w:rPr>
          <w:rFonts w:asciiTheme="minorEastAsia" w:hAnsiTheme="minorEastAsia" w:eastAsiaTheme="minorEastAsia"/>
          <w:color w:val="auto"/>
          <w:spacing w:val="-3"/>
          <w:kern w:val="0"/>
          <w:sz w:val="21"/>
          <w:szCs w:val="21"/>
          <w:lang w:val="zh-CN" w:bidi="zh-CN"/>
        </w:rPr>
        <w:t>对查出的问题</w:t>
      </w:r>
      <w:r>
        <w:rPr>
          <w:rFonts w:hint="eastAsia" w:asciiTheme="minorEastAsia" w:hAnsiTheme="minorEastAsia" w:eastAsiaTheme="minorEastAsia"/>
          <w:color w:val="auto"/>
          <w:spacing w:val="-3"/>
          <w:kern w:val="0"/>
          <w:sz w:val="21"/>
          <w:szCs w:val="21"/>
          <w:lang w:val="zh-CN" w:bidi="zh-CN"/>
        </w:rPr>
        <w:t>，</w:t>
      </w:r>
      <w:r>
        <w:rPr>
          <w:rFonts w:asciiTheme="minorEastAsia" w:hAnsiTheme="minorEastAsia" w:eastAsiaTheme="minorEastAsia"/>
          <w:color w:val="auto"/>
          <w:spacing w:val="-3"/>
          <w:kern w:val="0"/>
          <w:sz w:val="21"/>
          <w:szCs w:val="21"/>
          <w:lang w:val="zh-CN" w:bidi="zh-CN"/>
        </w:rPr>
        <w:t>如实记录至隐患排查治理台账</w:t>
      </w:r>
      <w:r>
        <w:rPr>
          <w:rFonts w:hint="eastAsia"/>
          <w:color w:val="auto"/>
          <w:spacing w:val="-3"/>
          <w:kern w:val="0"/>
          <w:sz w:val="21"/>
          <w:szCs w:val="21"/>
          <w:lang w:val="zh-CN" w:bidi="zh-CN"/>
        </w:rPr>
        <w:t>。</w:t>
      </w:r>
    </w:p>
    <w:p>
      <w:pPr>
        <w:widowControl w:val="0"/>
        <w:spacing w:after="0" w:line="480" w:lineRule="exact"/>
        <w:ind w:left="0" w:firstLine="480"/>
        <w:jc w:val="both"/>
        <w:rPr>
          <w:rFonts w:cs="Calibri" w:asciiTheme="minorEastAsia" w:hAnsiTheme="minorEastAsia" w:eastAsiaTheme="minorEastAsia"/>
          <w:szCs w:val="24"/>
        </w:rPr>
      </w:pPr>
      <w:r>
        <w:rPr>
          <w:rFonts w:cs="Calibri" w:asciiTheme="minorEastAsia" w:hAnsiTheme="minorEastAsia" w:eastAsiaTheme="minorEastAsia"/>
          <w:szCs w:val="24"/>
        </w:rPr>
        <w:t>定期排查的主要内容包括并不限于以下方面</w:t>
      </w:r>
      <w:r>
        <w:rPr>
          <w:rFonts w:hint="eastAsia" w:cs="Calibri" w:asciiTheme="minorEastAsia" w:hAnsiTheme="minorEastAsia" w:eastAsiaTheme="minorEastAsia"/>
          <w:szCs w:val="24"/>
        </w:rPr>
        <w:t>：</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（1）</w:t>
      </w:r>
      <w:r>
        <w:rPr>
          <w:rFonts w:cs="Calibri" w:asciiTheme="minorEastAsia" w:hAnsiTheme="minorEastAsia" w:eastAsiaTheme="minorEastAsia"/>
          <w:szCs w:val="24"/>
        </w:rPr>
        <w:t>公路路基、路面、桥涵</w:t>
      </w:r>
      <w:r>
        <w:rPr>
          <w:rFonts w:hint="eastAsia" w:cs="Calibri" w:asciiTheme="minorEastAsia" w:hAnsiTheme="minorEastAsia" w:eastAsiaTheme="minorEastAsia"/>
          <w:szCs w:val="24"/>
        </w:rPr>
        <w:t>、</w:t>
      </w:r>
      <w:r>
        <w:rPr>
          <w:rFonts w:cs="Calibri" w:asciiTheme="minorEastAsia" w:hAnsiTheme="minorEastAsia" w:eastAsiaTheme="minorEastAsia"/>
          <w:szCs w:val="24"/>
        </w:rPr>
        <w:t>隧道</w:t>
      </w:r>
      <w:r>
        <w:rPr>
          <w:rFonts w:hint="eastAsia" w:cs="Calibri" w:asciiTheme="minorEastAsia" w:hAnsiTheme="minorEastAsia" w:eastAsiaTheme="minorEastAsia"/>
          <w:szCs w:val="24"/>
        </w:rPr>
        <w:t>、</w:t>
      </w:r>
      <w:r>
        <w:rPr>
          <w:rFonts w:cs="Calibri" w:asciiTheme="minorEastAsia" w:hAnsiTheme="minorEastAsia" w:eastAsiaTheme="minorEastAsia"/>
          <w:szCs w:val="24"/>
        </w:rPr>
        <w:t>高边坡结构稳定</w:t>
      </w:r>
      <w:r>
        <w:rPr>
          <w:rFonts w:hint="eastAsia" w:cs="Calibri" w:asciiTheme="minorEastAsia" w:hAnsiTheme="minorEastAsia" w:eastAsiaTheme="minorEastAsia"/>
          <w:szCs w:val="24"/>
        </w:rPr>
        <w:t>，</w:t>
      </w:r>
      <w:r>
        <w:rPr>
          <w:rFonts w:cs="Calibri" w:asciiTheme="minorEastAsia" w:hAnsiTheme="minorEastAsia" w:eastAsiaTheme="minorEastAsia"/>
          <w:szCs w:val="24"/>
        </w:rPr>
        <w:t>技术状况良好</w:t>
      </w:r>
      <w:r>
        <w:rPr>
          <w:rFonts w:hint="eastAsia" w:cs="Calibri" w:asciiTheme="minorEastAsia" w:hAnsiTheme="minorEastAsia" w:eastAsiaTheme="minorEastAsia"/>
          <w:szCs w:val="24"/>
        </w:rPr>
        <w:t>。</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（2）交通标志、标线、护栏等交通安全设施情况良好</w:t>
      </w:r>
      <w:r>
        <w:rPr>
          <w:rFonts w:cs="Calibri" w:asciiTheme="minorEastAsia" w:hAnsiTheme="minorEastAsia" w:eastAsiaTheme="minorEastAsia"/>
          <w:szCs w:val="24"/>
        </w:rPr>
        <w:t>。</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（3）</w:t>
      </w:r>
      <w:r>
        <w:rPr>
          <w:rFonts w:cs="Calibri" w:asciiTheme="minorEastAsia" w:hAnsiTheme="minorEastAsia" w:eastAsiaTheme="minorEastAsia"/>
          <w:szCs w:val="24"/>
        </w:rPr>
        <w:t>清障救援等自有设备、车辆按规定进行维护保养，设备设施技术状况良好。</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（4）</w:t>
      </w:r>
      <w:r>
        <w:rPr>
          <w:rFonts w:cs="Calibri" w:asciiTheme="minorEastAsia" w:hAnsiTheme="minorEastAsia" w:eastAsiaTheme="minorEastAsia"/>
          <w:szCs w:val="24"/>
        </w:rPr>
        <w:t>安全保护区内无违法施工、搭建、路产损坏等现象。</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（5）</w:t>
      </w:r>
      <w:r>
        <w:rPr>
          <w:rFonts w:cs="Calibri" w:asciiTheme="minorEastAsia" w:hAnsiTheme="minorEastAsia" w:eastAsiaTheme="minorEastAsia"/>
          <w:szCs w:val="24"/>
        </w:rPr>
        <w:t>跨线桥下无非法占用、违章堆物等情况，无利用桥梁及其附属设施进行围拦、吊装、牵拉（排险、养护维修除外）等影响桥梁结构安全的作业行为。</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（6）桥梁</w:t>
      </w:r>
      <w:r>
        <w:rPr>
          <w:rFonts w:cs="Calibri" w:asciiTheme="minorEastAsia" w:hAnsiTheme="minorEastAsia" w:eastAsiaTheme="minorEastAsia"/>
          <w:szCs w:val="24"/>
        </w:rPr>
        <w:t>及隧道设置的防撞警示等附属设应保持良好状态。</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（7）</w:t>
      </w:r>
      <w:r>
        <w:rPr>
          <w:rFonts w:cs="Calibri" w:asciiTheme="minorEastAsia" w:hAnsiTheme="minorEastAsia" w:eastAsiaTheme="minorEastAsia"/>
          <w:szCs w:val="24"/>
        </w:rPr>
        <w:t>按规定开展防汛、除雪、今冬明春防火等专项工作的准备、检查、演练与实施等工作。</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（8）</w:t>
      </w:r>
      <w:r>
        <w:rPr>
          <w:rFonts w:cs="Calibri" w:asciiTheme="minorEastAsia" w:hAnsiTheme="minorEastAsia" w:eastAsiaTheme="minorEastAsia"/>
          <w:szCs w:val="24"/>
        </w:rPr>
        <w:t>施工单位按照协议约定内容开展工作，落实公司安全生产工作部署和要求。</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（9）养护工区、</w:t>
      </w:r>
      <w:r>
        <w:rPr>
          <w:rFonts w:cs="Calibri" w:asciiTheme="minorEastAsia" w:hAnsiTheme="minorEastAsia" w:eastAsiaTheme="minorEastAsia"/>
          <w:szCs w:val="24"/>
        </w:rPr>
        <w:t>施工单位按照养护工作计划开展工作，按规定填写、上报记录。</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（1</w:t>
      </w:r>
      <w:r>
        <w:rPr>
          <w:rFonts w:cs="Calibri" w:asciiTheme="minorEastAsia" w:hAnsiTheme="minorEastAsia" w:eastAsiaTheme="minorEastAsia"/>
          <w:szCs w:val="24"/>
        </w:rPr>
        <w:t>0</w:t>
      </w:r>
      <w:r>
        <w:rPr>
          <w:rFonts w:hint="eastAsia" w:cs="Calibri" w:asciiTheme="minorEastAsia" w:hAnsiTheme="minorEastAsia" w:eastAsiaTheme="minorEastAsia"/>
          <w:szCs w:val="24"/>
        </w:rPr>
        <w:t>）养护工区、</w:t>
      </w:r>
      <w:r>
        <w:rPr>
          <w:rFonts w:cs="Calibri" w:asciiTheme="minorEastAsia" w:hAnsiTheme="minorEastAsia" w:eastAsiaTheme="minorEastAsia"/>
          <w:szCs w:val="24"/>
        </w:rPr>
        <w:t>施工单位按规定开展安全教育培训、安全技术交底等工作，工作记录填写真实、规范。</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（1</w:t>
      </w:r>
      <w:r>
        <w:rPr>
          <w:rFonts w:cs="Calibri" w:asciiTheme="minorEastAsia" w:hAnsiTheme="minorEastAsia" w:eastAsiaTheme="minorEastAsia"/>
          <w:szCs w:val="24"/>
        </w:rPr>
        <w:t>1</w:t>
      </w:r>
      <w:r>
        <w:rPr>
          <w:rFonts w:hint="eastAsia" w:cs="Calibri" w:asciiTheme="minorEastAsia" w:hAnsiTheme="minorEastAsia" w:eastAsiaTheme="minorEastAsia"/>
          <w:szCs w:val="24"/>
        </w:rPr>
        <w:t>）</w:t>
      </w:r>
      <w:r>
        <w:rPr>
          <w:rFonts w:cs="Calibri" w:asciiTheme="minorEastAsia" w:hAnsiTheme="minorEastAsia" w:eastAsiaTheme="minorEastAsia"/>
          <w:szCs w:val="24"/>
        </w:rPr>
        <w:t>抽查养护作业现场，养护作业控制区设置、人员配置、设备设施及材料摆放等符合《公路养护安全作业规程》、《占道作业交通安全设施设置技术要求》等规定。</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（1</w:t>
      </w:r>
      <w:r>
        <w:rPr>
          <w:rFonts w:cs="Calibri" w:asciiTheme="minorEastAsia" w:hAnsiTheme="minorEastAsia" w:eastAsiaTheme="minorEastAsia"/>
          <w:szCs w:val="24"/>
        </w:rPr>
        <w:t>2</w:t>
      </w:r>
      <w:r>
        <w:rPr>
          <w:rFonts w:hint="eastAsia" w:cs="Calibri" w:asciiTheme="minorEastAsia" w:hAnsiTheme="minorEastAsia" w:eastAsiaTheme="minorEastAsia"/>
          <w:szCs w:val="24"/>
        </w:rPr>
        <w:t>）</w:t>
      </w:r>
      <w:r>
        <w:rPr>
          <w:rFonts w:cs="Calibri" w:asciiTheme="minorEastAsia" w:hAnsiTheme="minorEastAsia" w:eastAsiaTheme="minorEastAsia"/>
          <w:szCs w:val="24"/>
        </w:rPr>
        <w:t>其他。</w:t>
      </w:r>
    </w:p>
    <w:p>
      <w:pPr>
        <w:spacing w:after="0" w:line="240" w:lineRule="auto"/>
        <w:ind w:left="0" w:firstLine="0"/>
        <w:rPr>
          <w:rFonts w:cs="Calibri" w:asciiTheme="minorEastAsia" w:hAnsiTheme="minorEastAsia" w:eastAsiaTheme="minorEastAsia"/>
          <w:b/>
          <w:sz w:val="28"/>
          <w:szCs w:val="24"/>
        </w:rPr>
      </w:pPr>
      <w:r>
        <w:rPr>
          <w:rFonts w:cs="Calibri" w:asciiTheme="minorEastAsia" w:hAnsiTheme="minorEastAsia" w:eastAsiaTheme="minorEastAsia"/>
          <w:b/>
          <w:sz w:val="28"/>
          <w:szCs w:val="24"/>
        </w:rPr>
        <w:br w:type="page"/>
      </w:r>
    </w:p>
    <w:p>
      <w:pPr>
        <w:widowControl w:val="0"/>
        <w:spacing w:before="292" w:beforeLines="50" w:after="292" w:afterLines="50" w:line="560" w:lineRule="exact"/>
        <w:ind w:left="0" w:hanging="11"/>
        <w:outlineLvl w:val="1"/>
        <w:rPr>
          <w:rFonts w:cs="Calibri" w:asciiTheme="minorEastAsia" w:hAnsiTheme="minorEastAsia" w:eastAsiaTheme="minorEastAsia"/>
          <w:b/>
          <w:sz w:val="28"/>
          <w:szCs w:val="24"/>
        </w:rPr>
      </w:pPr>
      <w:bookmarkStart w:id="52" w:name="_Toc104720416"/>
      <w:bookmarkStart w:id="53" w:name="_Toc105769809"/>
      <w:r>
        <w:rPr>
          <w:rFonts w:hint="eastAsia" w:cs="Calibri" w:asciiTheme="minorEastAsia" w:hAnsiTheme="minorEastAsia" w:eastAsiaTheme="minorEastAsia"/>
          <w:b/>
          <w:sz w:val="28"/>
          <w:szCs w:val="24"/>
        </w:rPr>
        <w:t>3.4专项隐患排查</w:t>
      </w:r>
      <w:bookmarkEnd w:id="51"/>
      <w:bookmarkEnd w:id="52"/>
      <w:bookmarkEnd w:id="53"/>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专项排查应由主要负责人、分管负责人或指定相关部室、站区组织开展。出现下列情形的应当开展专项排查：</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（1）与本单位安全生产相关的法律、法规、规章、标准以及规程制定、修改或者废止的；</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（2）集团公司等上级有关单位安全工作专项部署的；</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（3）元旦、春节、五一、十一等重要节假日或“两会”、汛期等重要时段；</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（4）季节性、规律性安全生产条件变化的；</w:t>
      </w:r>
      <w:r>
        <w:rPr>
          <w:rFonts w:cs="Calibri" w:asciiTheme="minorEastAsia" w:hAnsiTheme="minorEastAsia" w:eastAsiaTheme="minorEastAsia"/>
          <w:szCs w:val="24"/>
        </w:rPr>
        <w:t xml:space="preserve"> </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（5）新工艺、新材料、新技术、新设备投入使用对安全生产条件发生变化的；</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（6）周边环境发生重大变化的；</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（7）发生安全生产事故或者险情情况的。</w:t>
      </w:r>
    </w:p>
    <w:p>
      <w:pPr>
        <w:widowControl w:val="0"/>
        <w:spacing w:after="0" w:line="480" w:lineRule="exact"/>
        <w:ind w:left="0" w:firstLine="480"/>
        <w:jc w:val="both"/>
        <w:rPr>
          <w:rFonts w:cs="Calibri" w:asciiTheme="minorEastAsia" w:hAnsiTheme="minorEastAsia" w:eastAsiaTheme="minorEastAsia"/>
          <w:szCs w:val="24"/>
        </w:rPr>
      </w:pPr>
      <w:r>
        <w:rPr>
          <w:rFonts w:hint="eastAsia" w:cs="Calibri" w:asciiTheme="minorEastAsia" w:hAnsiTheme="minorEastAsia" w:eastAsiaTheme="minorEastAsia"/>
          <w:szCs w:val="24"/>
        </w:rPr>
        <w:t>根据公司历年安全生产工作计划和安排，制定防汛、“今冬明春”防火、除雪等专项隐患排查记录表。</w:t>
      </w:r>
    </w:p>
    <w:p>
      <w:pPr>
        <w:widowControl w:val="0"/>
        <w:spacing w:after="0" w:line="360" w:lineRule="auto"/>
        <w:ind w:left="0" w:firstLine="482"/>
        <w:jc w:val="both"/>
        <w:outlineLvl w:val="2"/>
        <w:rPr>
          <w:rFonts w:ascii="宋体" w:hAnsi="宋体" w:eastAsia="宋体" w:cs="宋体"/>
          <w:b/>
          <w:kern w:val="0"/>
          <w:szCs w:val="18"/>
        </w:rPr>
      </w:pPr>
      <w:bookmarkStart w:id="54" w:name="_Toc43030411"/>
      <w:bookmarkStart w:id="55" w:name="_Toc104720417"/>
      <w:bookmarkStart w:id="56" w:name="_Toc105769810"/>
      <w:r>
        <w:rPr>
          <w:rFonts w:hint="eastAsia" w:ascii="宋体" w:hAnsi="宋体" w:eastAsia="宋体" w:cs="宋体"/>
          <w:b/>
          <w:kern w:val="0"/>
          <w:szCs w:val="18"/>
        </w:rPr>
        <w:t>3.4.1防汛专项隐患排查清单</w:t>
      </w:r>
      <w:bookmarkEnd w:id="54"/>
      <w:bookmarkEnd w:id="55"/>
      <w:bookmarkEnd w:id="56"/>
    </w:p>
    <w:p>
      <w:pPr>
        <w:widowControl w:val="0"/>
        <w:spacing w:after="0" w:line="560" w:lineRule="exact"/>
        <w:ind w:left="0" w:firstLine="432" w:firstLineChars="200"/>
        <w:jc w:val="center"/>
        <w:rPr>
          <w:rFonts w:cs="Calibri" w:asciiTheme="minorEastAsia" w:hAnsiTheme="minorEastAsia" w:eastAsiaTheme="minorEastAsia"/>
          <w:b/>
          <w:sz w:val="22"/>
          <w:szCs w:val="24"/>
        </w:rPr>
      </w:pPr>
      <w:r>
        <w:rPr>
          <w:rFonts w:hint="eastAsia" w:cs="Calibri" w:asciiTheme="minorEastAsia" w:hAnsiTheme="minorEastAsia" w:eastAsiaTheme="minorEastAsia"/>
          <w:b/>
          <w:sz w:val="22"/>
          <w:szCs w:val="24"/>
        </w:rPr>
        <w:t>表3-</w:t>
      </w:r>
      <w:r>
        <w:rPr>
          <w:rFonts w:cs="Calibri" w:asciiTheme="minorEastAsia" w:hAnsiTheme="minorEastAsia" w:eastAsiaTheme="minorEastAsia"/>
          <w:b/>
          <w:sz w:val="22"/>
          <w:szCs w:val="24"/>
        </w:rPr>
        <w:t>13</w:t>
      </w:r>
      <w:r>
        <w:rPr>
          <w:rFonts w:hint="eastAsia" w:cs="Calibri" w:asciiTheme="minorEastAsia" w:hAnsiTheme="minorEastAsia" w:eastAsiaTheme="minorEastAsia"/>
          <w:b/>
          <w:sz w:val="22"/>
          <w:szCs w:val="24"/>
        </w:rPr>
        <w:t>防汛专项隐患排查记录</w:t>
      </w:r>
    </w:p>
    <w:tbl>
      <w:tblPr>
        <w:tblStyle w:val="30"/>
        <w:tblW w:w="934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0"/>
        <w:gridCol w:w="6360"/>
        <w:gridCol w:w="190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1080" w:type="dxa"/>
            <w:shd w:val="clear" w:color="000000" w:fill="F2F2F2"/>
            <w:vAlign w:val="center"/>
          </w:tcPr>
          <w:p>
            <w:pPr>
              <w:spacing w:after="0" w:line="240" w:lineRule="auto"/>
              <w:ind w:left="0" w:firstLine="0"/>
              <w:jc w:val="center"/>
              <w:rPr>
                <w:rFonts w:ascii="宋体" w:hAnsi="宋体" w:eastAsia="宋体" w:cs="宋体"/>
                <w:kern w:val="0"/>
                <w:sz w:val="18"/>
                <w:szCs w:val="18"/>
              </w:rPr>
            </w:pPr>
            <w:r>
              <w:rPr>
                <w:rFonts w:hint="eastAsia" w:ascii="宋体" w:hAnsi="宋体" w:eastAsia="宋体" w:cs="宋体"/>
                <w:kern w:val="0"/>
                <w:sz w:val="18"/>
                <w:szCs w:val="18"/>
              </w:rPr>
              <w:t>部位</w:t>
            </w:r>
          </w:p>
        </w:tc>
        <w:tc>
          <w:tcPr>
            <w:tcW w:w="6360" w:type="dxa"/>
            <w:shd w:val="clear" w:color="000000" w:fill="F2F2F2"/>
            <w:vAlign w:val="center"/>
          </w:tcPr>
          <w:p>
            <w:pPr>
              <w:spacing w:after="0" w:line="240" w:lineRule="auto"/>
              <w:ind w:left="0" w:firstLine="0"/>
              <w:jc w:val="center"/>
              <w:rPr>
                <w:rFonts w:ascii="宋体" w:hAnsi="宋体" w:eastAsia="宋体" w:cs="宋体"/>
                <w:kern w:val="0"/>
                <w:sz w:val="18"/>
                <w:szCs w:val="18"/>
              </w:rPr>
            </w:pPr>
            <w:r>
              <w:rPr>
                <w:rFonts w:hint="eastAsia" w:ascii="宋体" w:hAnsi="宋体" w:eastAsia="宋体" w:cs="宋体"/>
                <w:kern w:val="0"/>
                <w:sz w:val="18"/>
                <w:szCs w:val="18"/>
              </w:rPr>
              <w:t>排查内容</w:t>
            </w:r>
          </w:p>
        </w:tc>
        <w:tc>
          <w:tcPr>
            <w:tcW w:w="1900" w:type="dxa"/>
            <w:shd w:val="clear" w:color="000000" w:fill="F2F2F2"/>
            <w:vAlign w:val="center"/>
          </w:tcPr>
          <w:p>
            <w:pPr>
              <w:spacing w:after="0" w:line="240" w:lineRule="auto"/>
              <w:ind w:left="0" w:firstLine="0"/>
              <w:jc w:val="center"/>
              <w:rPr>
                <w:rFonts w:ascii="宋体" w:hAnsi="宋体" w:eastAsia="宋体" w:cs="宋体"/>
                <w:kern w:val="0"/>
                <w:sz w:val="18"/>
                <w:szCs w:val="18"/>
              </w:rPr>
            </w:pPr>
            <w:r>
              <w:rPr>
                <w:rFonts w:hint="eastAsia" w:ascii="宋体" w:hAnsi="宋体" w:eastAsia="宋体" w:cs="宋体"/>
                <w:kern w:val="0"/>
                <w:sz w:val="18"/>
                <w:szCs w:val="18"/>
              </w:rPr>
              <w:t>排查结果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restart"/>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组织准备</w:t>
            </w: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领导小组成立，组织体系及职责明确。</w:t>
            </w:r>
          </w:p>
        </w:tc>
        <w:tc>
          <w:tcPr>
            <w:tcW w:w="1900" w:type="dxa"/>
            <w:vMerge w:val="restart"/>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应急队伍成立，人员充足、信息明确。</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按规定开展动员准备工作。</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restart"/>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应急预案</w:t>
            </w: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应急预案（现场处置方案）建立健全、内容合理。</w:t>
            </w:r>
          </w:p>
        </w:tc>
        <w:tc>
          <w:tcPr>
            <w:tcW w:w="1900" w:type="dxa"/>
            <w:vMerge w:val="restart"/>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按规定开展应急演练。</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restart"/>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监测预警</w:t>
            </w: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按规定开展领导带班、员工值班。</w:t>
            </w:r>
          </w:p>
        </w:tc>
        <w:tc>
          <w:tcPr>
            <w:tcW w:w="1900" w:type="dxa"/>
            <w:vMerge w:val="restart"/>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专人监测预警、信息收集齐全。</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按规定开展上传下达工作。</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restart"/>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应急保障</w:t>
            </w: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编织袋、沙、石、水泥、铁锹、铁丝、木桩、雨衣、雨鞋、手电、手套、车辆、排水泵、发电机等防汛物资齐全。</w:t>
            </w:r>
          </w:p>
        </w:tc>
        <w:tc>
          <w:tcPr>
            <w:tcW w:w="1900" w:type="dxa"/>
            <w:vMerge w:val="restart"/>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防汛资金、后勤物资保障充足。</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第三方协作单位物资、人员、车辆、设备到位。</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restart"/>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道路基础设施</w:t>
            </w: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涵洞、边沟、截水沟、泄水槽畅通无堵塞、杂草、淤泥。</w:t>
            </w:r>
          </w:p>
        </w:tc>
        <w:tc>
          <w:tcPr>
            <w:tcW w:w="1900" w:type="dxa"/>
            <w:vMerge w:val="restart"/>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ascii="宋体" w:hAnsi="宋体" w:eastAsia="宋体" w:cs="宋体"/>
                <w:kern w:val="0"/>
                <w:sz w:val="20"/>
                <w:szCs w:val="20"/>
              </w:rPr>
              <w:t>高边坡</w:t>
            </w:r>
            <w:r>
              <w:rPr>
                <w:rFonts w:hint="eastAsia" w:ascii="宋体" w:hAnsi="宋体" w:eastAsia="宋体" w:cs="宋体"/>
                <w:kern w:val="0"/>
                <w:sz w:val="20"/>
                <w:szCs w:val="20"/>
              </w:rPr>
              <w:t>、</w:t>
            </w:r>
            <w:r>
              <w:rPr>
                <w:rFonts w:ascii="宋体" w:hAnsi="宋体" w:eastAsia="宋体" w:cs="宋体"/>
                <w:kern w:val="0"/>
                <w:sz w:val="20"/>
                <w:szCs w:val="20"/>
              </w:rPr>
              <w:t>洞口松散土体</w:t>
            </w:r>
            <w:r>
              <w:rPr>
                <w:rFonts w:hint="eastAsia" w:ascii="宋体" w:hAnsi="宋体" w:eastAsia="宋体" w:cs="宋体"/>
                <w:kern w:val="0"/>
                <w:sz w:val="20"/>
                <w:szCs w:val="20"/>
              </w:rPr>
              <w:t>、</w:t>
            </w:r>
            <w:r>
              <w:rPr>
                <w:rFonts w:ascii="宋体" w:hAnsi="宋体" w:eastAsia="宋体" w:cs="宋体"/>
                <w:kern w:val="0"/>
                <w:sz w:val="20"/>
                <w:szCs w:val="20"/>
              </w:rPr>
              <w:t>石块</w:t>
            </w:r>
            <w:r>
              <w:rPr>
                <w:rFonts w:hint="eastAsia" w:ascii="宋体" w:hAnsi="宋体" w:eastAsia="宋体" w:cs="宋体"/>
                <w:kern w:val="0"/>
                <w:sz w:val="20"/>
                <w:szCs w:val="20"/>
              </w:rPr>
              <w:t>、</w:t>
            </w:r>
            <w:r>
              <w:rPr>
                <w:rFonts w:ascii="宋体" w:hAnsi="宋体" w:eastAsia="宋体" w:cs="宋体"/>
                <w:kern w:val="0"/>
                <w:sz w:val="20"/>
                <w:szCs w:val="20"/>
              </w:rPr>
              <w:t>树木及时加固或清理</w:t>
            </w:r>
            <w:r>
              <w:rPr>
                <w:rFonts w:hint="eastAsia" w:ascii="宋体" w:hAnsi="宋体" w:eastAsia="宋体" w:cs="宋体"/>
                <w:kern w:val="0"/>
                <w:sz w:val="20"/>
                <w:szCs w:val="20"/>
              </w:rPr>
              <w:t>。</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路侧交安、机电设施、树木结构、桥梁墩柱稳固，无土体流失、积水。</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建筑门窗严密，户外电气设备、电缆防护到位。</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桥梁泄水孔、水箅子、雨落管齐全完好，排水顺畅，无堵塞。</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隧道洞内及横通道无渗漏水，排水畅通，水泵设施完好。</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vMerge w:val="continue"/>
            <w:vAlign w:val="center"/>
          </w:tcPr>
          <w:p>
            <w:pPr>
              <w:spacing w:after="0" w:line="240" w:lineRule="auto"/>
              <w:ind w:left="0" w:firstLine="0"/>
              <w:rPr>
                <w:rFonts w:ascii="宋体" w:hAnsi="宋体" w:eastAsia="宋体" w:cs="宋体"/>
                <w:kern w:val="0"/>
                <w:sz w:val="20"/>
                <w:szCs w:val="20"/>
              </w:rPr>
            </w:pP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ascii="宋体" w:hAnsi="宋体" w:eastAsia="宋体" w:cs="宋体"/>
                <w:kern w:val="0"/>
                <w:sz w:val="20"/>
                <w:szCs w:val="20"/>
              </w:rPr>
              <w:t>路面无</w:t>
            </w:r>
            <w:r>
              <w:rPr>
                <w:rFonts w:hint="eastAsia" w:ascii="宋体" w:hAnsi="宋体" w:eastAsia="宋体" w:cs="宋体"/>
                <w:kern w:val="0"/>
                <w:sz w:val="20"/>
                <w:szCs w:val="20"/>
              </w:rPr>
              <w:t>积水、唧浆等现象。</w:t>
            </w:r>
          </w:p>
        </w:tc>
        <w:tc>
          <w:tcPr>
            <w:tcW w:w="1900" w:type="dxa"/>
            <w:vMerge w:val="continue"/>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080" w:type="dxa"/>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其他</w:t>
            </w:r>
          </w:p>
        </w:tc>
        <w:tc>
          <w:tcPr>
            <w:tcW w:w="6360" w:type="dxa"/>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按上级要求开展其他防汛工作。</w:t>
            </w:r>
          </w:p>
        </w:tc>
        <w:tc>
          <w:tcPr>
            <w:tcW w:w="1900" w:type="dxa"/>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9340" w:type="dxa"/>
            <w:gridSpan w:val="3"/>
            <w:shd w:val="clear" w:color="auto" w:fill="auto"/>
            <w:noWrap/>
            <w:vAlign w:val="center"/>
          </w:tcPr>
          <w:p>
            <w:pPr>
              <w:spacing w:after="0" w:line="240" w:lineRule="auto"/>
              <w:ind w:left="0" w:firstLine="0"/>
              <w:rPr>
                <w:rFonts w:ascii="宋体" w:hAnsi="宋体" w:eastAsia="宋体" w:cs="宋体"/>
                <w:kern w:val="0"/>
                <w:sz w:val="22"/>
              </w:rPr>
            </w:pPr>
            <w:r>
              <w:rPr>
                <w:rFonts w:hint="eastAsia" w:ascii="宋体" w:hAnsi="宋体" w:eastAsia="宋体" w:cs="宋体"/>
                <w:kern w:val="0"/>
                <w:sz w:val="22"/>
              </w:rPr>
              <w:t>组织人：                      参加人员：                         日期:</w:t>
            </w:r>
          </w:p>
        </w:tc>
      </w:tr>
    </w:tbl>
    <w:p>
      <w:pPr>
        <w:spacing w:after="0" w:line="240" w:lineRule="auto"/>
        <w:ind w:left="0" w:firstLine="0"/>
        <w:rPr>
          <w:rFonts w:ascii="宋体" w:hAnsi="宋体" w:eastAsia="宋体" w:cs="宋体"/>
          <w:b/>
          <w:kern w:val="0"/>
          <w:szCs w:val="18"/>
        </w:rPr>
      </w:pPr>
      <w:bookmarkStart w:id="57" w:name="_Toc43030412"/>
      <w:r>
        <w:rPr>
          <w:rFonts w:ascii="宋体" w:hAnsi="宋体" w:eastAsia="宋体" w:cs="宋体"/>
          <w:b/>
          <w:kern w:val="0"/>
          <w:szCs w:val="18"/>
        </w:rPr>
        <w:br w:type="page"/>
      </w:r>
    </w:p>
    <w:p>
      <w:pPr>
        <w:widowControl w:val="0"/>
        <w:spacing w:after="0" w:line="360" w:lineRule="auto"/>
        <w:ind w:left="0" w:firstLine="482"/>
        <w:jc w:val="both"/>
        <w:outlineLvl w:val="2"/>
        <w:rPr>
          <w:rFonts w:ascii="宋体" w:hAnsi="宋体" w:eastAsia="宋体" w:cs="宋体"/>
          <w:b/>
          <w:kern w:val="0"/>
          <w:szCs w:val="18"/>
        </w:rPr>
      </w:pPr>
      <w:bookmarkStart w:id="58" w:name="_Toc104720418"/>
      <w:bookmarkStart w:id="59" w:name="_Toc105769811"/>
      <w:r>
        <w:rPr>
          <w:rFonts w:hint="eastAsia" w:ascii="宋体" w:hAnsi="宋体" w:eastAsia="宋体" w:cs="宋体"/>
          <w:b/>
          <w:kern w:val="0"/>
          <w:szCs w:val="18"/>
        </w:rPr>
        <w:t>3.4.2今冬明春防火专项隐患排查清单</w:t>
      </w:r>
      <w:bookmarkEnd w:id="57"/>
      <w:bookmarkEnd w:id="58"/>
      <w:bookmarkEnd w:id="59"/>
    </w:p>
    <w:p>
      <w:pPr>
        <w:widowControl w:val="0"/>
        <w:spacing w:after="0" w:line="560" w:lineRule="exact"/>
        <w:ind w:left="0" w:firstLine="432" w:firstLineChars="200"/>
        <w:jc w:val="center"/>
        <w:rPr>
          <w:rFonts w:cs="Calibri" w:asciiTheme="minorEastAsia" w:hAnsiTheme="minorEastAsia" w:eastAsiaTheme="minorEastAsia"/>
          <w:b/>
          <w:sz w:val="22"/>
          <w:szCs w:val="24"/>
        </w:rPr>
      </w:pPr>
      <w:r>
        <w:rPr>
          <w:rFonts w:hint="eastAsia" w:cs="Calibri" w:asciiTheme="minorEastAsia" w:hAnsiTheme="minorEastAsia" w:eastAsiaTheme="minorEastAsia"/>
          <w:b/>
          <w:sz w:val="22"/>
          <w:szCs w:val="24"/>
        </w:rPr>
        <w:t>表3-</w:t>
      </w:r>
      <w:r>
        <w:rPr>
          <w:rFonts w:cs="Calibri" w:asciiTheme="minorEastAsia" w:hAnsiTheme="minorEastAsia" w:eastAsiaTheme="minorEastAsia"/>
          <w:b/>
          <w:sz w:val="22"/>
          <w:szCs w:val="24"/>
        </w:rPr>
        <w:t>14</w:t>
      </w:r>
      <w:r>
        <w:rPr>
          <w:rFonts w:hint="eastAsia" w:cs="Calibri" w:asciiTheme="minorEastAsia" w:hAnsiTheme="minorEastAsia" w:eastAsiaTheme="minorEastAsia"/>
          <w:b/>
          <w:sz w:val="22"/>
          <w:szCs w:val="24"/>
        </w:rPr>
        <w:t>今冬明春防火专项隐患排查记录</w:t>
      </w:r>
    </w:p>
    <w:tbl>
      <w:tblPr>
        <w:tblStyle w:val="30"/>
        <w:tblW w:w="8780" w:type="dxa"/>
        <w:tblInd w:w="93" w:type="dxa"/>
        <w:tblLayout w:type="autofit"/>
        <w:tblCellMar>
          <w:top w:w="0" w:type="dxa"/>
          <w:left w:w="108" w:type="dxa"/>
          <w:bottom w:w="0" w:type="dxa"/>
          <w:right w:w="108" w:type="dxa"/>
        </w:tblCellMar>
      </w:tblPr>
      <w:tblGrid>
        <w:gridCol w:w="1080"/>
        <w:gridCol w:w="5560"/>
        <w:gridCol w:w="2140"/>
      </w:tblGrid>
      <w:tr>
        <w:tblPrEx>
          <w:tblCellMar>
            <w:top w:w="0" w:type="dxa"/>
            <w:left w:w="108" w:type="dxa"/>
            <w:bottom w:w="0" w:type="dxa"/>
            <w:right w:w="108" w:type="dxa"/>
          </w:tblCellMar>
        </w:tblPrEx>
        <w:trPr>
          <w:trHeight w:val="402" w:hRule="atLeast"/>
        </w:trPr>
        <w:tc>
          <w:tcPr>
            <w:tcW w:w="1080" w:type="dxa"/>
            <w:tcBorders>
              <w:top w:val="single" w:color="auto" w:sz="4" w:space="0"/>
              <w:left w:val="single" w:color="auto" w:sz="4" w:space="0"/>
              <w:bottom w:val="nil"/>
              <w:right w:val="single" w:color="auto" w:sz="4" w:space="0"/>
            </w:tcBorders>
            <w:shd w:val="clear" w:color="000000" w:fill="F2F2F2"/>
            <w:vAlign w:val="center"/>
          </w:tcPr>
          <w:p>
            <w:pPr>
              <w:spacing w:after="0" w:line="240" w:lineRule="auto"/>
              <w:ind w:left="0" w:firstLine="0"/>
              <w:jc w:val="center"/>
              <w:rPr>
                <w:rFonts w:ascii="宋体" w:hAnsi="宋体" w:eastAsia="宋体" w:cs="宋体"/>
                <w:kern w:val="0"/>
                <w:sz w:val="20"/>
                <w:szCs w:val="20"/>
              </w:rPr>
            </w:pPr>
            <w:bookmarkStart w:id="60" w:name="_Toc43030413"/>
            <w:r>
              <w:rPr>
                <w:rFonts w:hint="eastAsia" w:ascii="宋体" w:hAnsi="宋体" w:eastAsia="宋体" w:cs="宋体"/>
                <w:kern w:val="0"/>
                <w:sz w:val="20"/>
                <w:szCs w:val="20"/>
              </w:rPr>
              <w:t>部位</w:t>
            </w:r>
          </w:p>
        </w:tc>
        <w:tc>
          <w:tcPr>
            <w:tcW w:w="5560" w:type="dxa"/>
            <w:tcBorders>
              <w:top w:val="single" w:color="auto" w:sz="4" w:space="0"/>
              <w:left w:val="nil"/>
              <w:bottom w:val="nil"/>
              <w:right w:val="single" w:color="auto" w:sz="4" w:space="0"/>
            </w:tcBorders>
            <w:shd w:val="clear" w:color="000000" w:fill="F2F2F2"/>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排查内容</w:t>
            </w:r>
          </w:p>
        </w:tc>
        <w:tc>
          <w:tcPr>
            <w:tcW w:w="2140" w:type="dxa"/>
            <w:tcBorders>
              <w:top w:val="single" w:color="auto" w:sz="4" w:space="0"/>
              <w:left w:val="nil"/>
              <w:bottom w:val="single" w:color="auto" w:sz="4" w:space="0"/>
              <w:right w:val="single" w:color="auto" w:sz="4" w:space="0"/>
            </w:tcBorders>
            <w:shd w:val="clear" w:color="000000" w:fill="F2F2F2"/>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排查结果</w:t>
            </w:r>
          </w:p>
        </w:tc>
      </w:tr>
      <w:tr>
        <w:tblPrEx>
          <w:tblCellMar>
            <w:top w:w="0" w:type="dxa"/>
            <w:left w:w="108" w:type="dxa"/>
            <w:bottom w:w="0" w:type="dxa"/>
            <w:right w:w="108" w:type="dxa"/>
          </w:tblCellMar>
        </w:tblPrEx>
        <w:trPr>
          <w:trHeight w:val="402"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组织准备</w:t>
            </w:r>
          </w:p>
        </w:tc>
        <w:tc>
          <w:tcPr>
            <w:tcW w:w="5560" w:type="dxa"/>
            <w:tcBorders>
              <w:top w:val="single" w:color="auto" w:sz="4" w:space="0"/>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领导小组成立，组织体系及职责明确。</w:t>
            </w:r>
          </w:p>
        </w:tc>
        <w:tc>
          <w:tcPr>
            <w:tcW w:w="2140" w:type="dxa"/>
            <w:vMerge w:val="restart"/>
            <w:tcBorders>
              <w:top w:val="nil"/>
              <w:left w:val="nil"/>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应急队伍成立，人员充足、信息明确。</w:t>
            </w:r>
          </w:p>
        </w:tc>
        <w:tc>
          <w:tcPr>
            <w:tcW w:w="2140" w:type="dxa"/>
            <w:vMerge w:val="continue"/>
            <w:tcBorders>
              <w:left w:val="nil"/>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402"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按规定开展动员准备工作。</w:t>
            </w:r>
          </w:p>
        </w:tc>
        <w:tc>
          <w:tcPr>
            <w:tcW w:w="2140" w:type="dxa"/>
            <w:vMerge w:val="continue"/>
            <w:tcBorders>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402"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应急预案</w:t>
            </w: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应急预案（现场处置方案）建立健全、内容合理。</w:t>
            </w:r>
          </w:p>
        </w:tc>
        <w:tc>
          <w:tcPr>
            <w:tcW w:w="2140" w:type="dxa"/>
            <w:vMerge w:val="restart"/>
            <w:tcBorders>
              <w:top w:val="nil"/>
              <w:left w:val="nil"/>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按规定开展消防及应急疏散演练。</w:t>
            </w:r>
          </w:p>
        </w:tc>
        <w:tc>
          <w:tcPr>
            <w:tcW w:w="2140" w:type="dxa"/>
            <w:vMerge w:val="continue"/>
            <w:tcBorders>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402"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监测预警</w:t>
            </w: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按规定开展领导带班、员工值班。</w:t>
            </w:r>
          </w:p>
        </w:tc>
        <w:tc>
          <w:tcPr>
            <w:tcW w:w="2140" w:type="dxa"/>
            <w:vMerge w:val="restart"/>
            <w:tcBorders>
              <w:top w:val="nil"/>
              <w:left w:val="nil"/>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专人监测预警、信息收集齐全。</w:t>
            </w:r>
          </w:p>
        </w:tc>
        <w:tc>
          <w:tcPr>
            <w:tcW w:w="2140" w:type="dxa"/>
            <w:vMerge w:val="continue"/>
            <w:tcBorders>
              <w:left w:val="nil"/>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按规定开展上传下达工作。</w:t>
            </w:r>
          </w:p>
        </w:tc>
        <w:tc>
          <w:tcPr>
            <w:tcW w:w="2140" w:type="dxa"/>
            <w:vMerge w:val="continue"/>
            <w:tcBorders>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522"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应急物资及设备设施保障</w:t>
            </w:r>
          </w:p>
        </w:tc>
        <w:tc>
          <w:tcPr>
            <w:tcW w:w="5560" w:type="dxa"/>
            <w:tcBorders>
              <w:top w:val="nil"/>
              <w:left w:val="nil"/>
              <w:bottom w:val="single" w:color="auto" w:sz="4" w:space="0"/>
              <w:right w:val="single" w:color="auto" w:sz="4" w:space="0"/>
            </w:tcBorders>
            <w:shd w:val="clear" w:color="auto" w:fill="auto"/>
            <w:vAlign w:val="bottom"/>
          </w:tcPr>
          <w:p>
            <w:pPr>
              <w:spacing w:after="0" w:line="300" w:lineRule="exact"/>
              <w:ind w:left="0" w:firstLine="0"/>
              <w:rPr>
                <w:rFonts w:ascii="宋体" w:hAnsi="宋体" w:eastAsia="宋体" w:cs="宋体"/>
                <w:kern w:val="0"/>
                <w:sz w:val="20"/>
                <w:szCs w:val="20"/>
              </w:rPr>
            </w:pPr>
            <w:r>
              <w:rPr>
                <w:rFonts w:hint="eastAsia" w:ascii="宋体" w:hAnsi="宋体" w:eastAsia="宋体" w:cs="宋体"/>
                <w:kern w:val="0"/>
                <w:sz w:val="20"/>
                <w:szCs w:val="20"/>
              </w:rPr>
              <w:t>灭火器、消防毯、消防斧、消防栓、铁锹等应急物资配备齐全有效，位置合理。</w:t>
            </w:r>
          </w:p>
        </w:tc>
        <w:tc>
          <w:tcPr>
            <w:tcW w:w="2140" w:type="dxa"/>
            <w:vMerge w:val="restart"/>
            <w:tcBorders>
              <w:top w:val="nil"/>
              <w:left w:val="nil"/>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路肩、边坡、边沟及站区、周边杂草处理完毕。</w:t>
            </w:r>
          </w:p>
        </w:tc>
        <w:tc>
          <w:tcPr>
            <w:tcW w:w="2140" w:type="dxa"/>
            <w:vMerge w:val="continue"/>
            <w:tcBorders>
              <w:left w:val="nil"/>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560" w:type="dxa"/>
            <w:tcBorders>
              <w:top w:val="nil"/>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易燃易爆物品存储、使用符合规定。</w:t>
            </w:r>
          </w:p>
        </w:tc>
        <w:tc>
          <w:tcPr>
            <w:tcW w:w="2140" w:type="dxa"/>
            <w:vMerge w:val="continue"/>
            <w:tcBorders>
              <w:left w:val="nil"/>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480"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560" w:type="dxa"/>
            <w:tcBorders>
              <w:top w:val="nil"/>
              <w:left w:val="nil"/>
              <w:bottom w:val="nil"/>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电气设备设施绝缘可靠、无私拉乱接、超负荷用电等现象。</w:t>
            </w:r>
          </w:p>
        </w:tc>
        <w:tc>
          <w:tcPr>
            <w:tcW w:w="2140" w:type="dxa"/>
            <w:vMerge w:val="continue"/>
            <w:tcBorders>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p>
        </w:tc>
      </w:tr>
      <w:tr>
        <w:tblPrEx>
          <w:tblCellMar>
            <w:top w:w="0" w:type="dxa"/>
            <w:left w:w="108" w:type="dxa"/>
            <w:bottom w:w="0" w:type="dxa"/>
            <w:right w:w="108" w:type="dxa"/>
          </w:tblCellMar>
        </w:tblPrEx>
        <w:trPr>
          <w:trHeight w:val="402"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其他</w:t>
            </w:r>
          </w:p>
        </w:tc>
        <w:tc>
          <w:tcPr>
            <w:tcW w:w="5560" w:type="dxa"/>
            <w:tcBorders>
              <w:top w:val="single" w:color="auto" w:sz="4" w:space="0"/>
              <w:left w:val="nil"/>
              <w:bottom w:val="single" w:color="auto" w:sz="4" w:space="0"/>
              <w:right w:val="single" w:color="auto" w:sz="4" w:space="0"/>
            </w:tcBorders>
            <w:shd w:val="clear" w:color="auto" w:fill="auto"/>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按上级要求开展防火专项隐患排查治理工作。</w:t>
            </w:r>
          </w:p>
        </w:tc>
        <w:tc>
          <w:tcPr>
            <w:tcW w:w="21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8780" w:type="dxa"/>
            <w:gridSpan w:val="3"/>
            <w:tcBorders>
              <w:top w:val="nil"/>
              <w:left w:val="single" w:color="auto" w:sz="4" w:space="0"/>
              <w:bottom w:val="single" w:color="auto" w:sz="4" w:space="0"/>
              <w:right w:val="single" w:color="auto" w:sz="4" w:space="0"/>
            </w:tcBorders>
            <w:shd w:val="clear" w:color="auto" w:fill="auto"/>
            <w:noWrap/>
            <w:vAlign w:val="bottom"/>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组织人：                 参加人员：                      日期:</w:t>
            </w:r>
          </w:p>
        </w:tc>
      </w:tr>
    </w:tbl>
    <w:p>
      <w:pPr>
        <w:widowControl w:val="0"/>
        <w:spacing w:after="0" w:line="360" w:lineRule="auto"/>
        <w:ind w:left="0" w:firstLine="482"/>
        <w:jc w:val="both"/>
        <w:rPr>
          <w:rFonts w:ascii="宋体" w:hAnsi="宋体" w:eastAsia="宋体" w:cs="宋体"/>
          <w:b/>
          <w:kern w:val="0"/>
          <w:szCs w:val="18"/>
        </w:rPr>
      </w:pPr>
    </w:p>
    <w:p>
      <w:pPr>
        <w:spacing w:after="0" w:line="240" w:lineRule="auto"/>
        <w:ind w:left="0" w:firstLine="0"/>
        <w:rPr>
          <w:rFonts w:ascii="宋体" w:hAnsi="宋体" w:eastAsia="宋体" w:cs="宋体"/>
          <w:b/>
          <w:kern w:val="0"/>
          <w:szCs w:val="18"/>
        </w:rPr>
      </w:pPr>
      <w:r>
        <w:rPr>
          <w:rFonts w:ascii="宋体" w:hAnsi="宋体" w:eastAsia="宋体" w:cs="宋体"/>
          <w:b/>
          <w:kern w:val="0"/>
          <w:szCs w:val="18"/>
        </w:rPr>
        <w:br w:type="page"/>
      </w:r>
    </w:p>
    <w:p>
      <w:pPr>
        <w:widowControl w:val="0"/>
        <w:spacing w:after="0" w:line="360" w:lineRule="auto"/>
        <w:ind w:left="0" w:firstLine="482"/>
        <w:jc w:val="both"/>
        <w:outlineLvl w:val="2"/>
        <w:rPr>
          <w:rFonts w:ascii="宋体" w:hAnsi="宋体" w:eastAsia="宋体" w:cs="宋体"/>
          <w:b/>
          <w:kern w:val="0"/>
          <w:szCs w:val="18"/>
        </w:rPr>
      </w:pPr>
      <w:bookmarkStart w:id="61" w:name="_Toc104720419"/>
      <w:bookmarkStart w:id="62" w:name="_Toc105769812"/>
      <w:r>
        <w:rPr>
          <w:rFonts w:hint="eastAsia" w:ascii="宋体" w:hAnsi="宋体" w:eastAsia="宋体" w:cs="宋体"/>
          <w:b/>
          <w:kern w:val="0"/>
          <w:szCs w:val="18"/>
        </w:rPr>
        <w:t>3.4.3除雪专项隐患排查清单</w:t>
      </w:r>
      <w:bookmarkEnd w:id="60"/>
      <w:bookmarkEnd w:id="61"/>
      <w:bookmarkEnd w:id="62"/>
    </w:p>
    <w:p>
      <w:pPr>
        <w:widowControl w:val="0"/>
        <w:spacing w:after="0" w:line="560" w:lineRule="exact"/>
        <w:ind w:left="0" w:firstLine="432" w:firstLineChars="200"/>
        <w:jc w:val="center"/>
        <w:rPr>
          <w:rFonts w:cs="Calibri" w:asciiTheme="minorEastAsia" w:hAnsiTheme="minorEastAsia" w:eastAsiaTheme="minorEastAsia"/>
          <w:b/>
          <w:sz w:val="22"/>
          <w:szCs w:val="24"/>
        </w:rPr>
      </w:pPr>
      <w:r>
        <w:rPr>
          <w:rFonts w:hint="eastAsia" w:cs="Calibri" w:asciiTheme="minorEastAsia" w:hAnsiTheme="minorEastAsia" w:eastAsiaTheme="minorEastAsia"/>
          <w:b/>
          <w:sz w:val="22"/>
          <w:szCs w:val="24"/>
        </w:rPr>
        <w:t>表3-</w:t>
      </w:r>
      <w:r>
        <w:rPr>
          <w:rFonts w:cs="Calibri" w:asciiTheme="minorEastAsia" w:hAnsiTheme="minorEastAsia" w:eastAsiaTheme="minorEastAsia"/>
          <w:b/>
          <w:sz w:val="22"/>
          <w:szCs w:val="24"/>
        </w:rPr>
        <w:t>14</w:t>
      </w:r>
      <w:r>
        <w:rPr>
          <w:rFonts w:hint="eastAsia" w:cs="Calibri" w:asciiTheme="minorEastAsia" w:hAnsiTheme="minorEastAsia" w:eastAsiaTheme="minorEastAsia"/>
          <w:b/>
          <w:sz w:val="22"/>
          <w:szCs w:val="24"/>
        </w:rPr>
        <w:t>除雪专项隐患排查记录</w:t>
      </w:r>
    </w:p>
    <w:tbl>
      <w:tblPr>
        <w:tblStyle w:val="30"/>
        <w:tblW w:w="8480" w:type="dxa"/>
        <w:tblInd w:w="93" w:type="dxa"/>
        <w:tblLayout w:type="autofit"/>
        <w:tblCellMar>
          <w:top w:w="0" w:type="dxa"/>
          <w:left w:w="108" w:type="dxa"/>
          <w:bottom w:w="0" w:type="dxa"/>
          <w:right w:w="108" w:type="dxa"/>
        </w:tblCellMar>
      </w:tblPr>
      <w:tblGrid>
        <w:gridCol w:w="1080"/>
        <w:gridCol w:w="5960"/>
        <w:gridCol w:w="1440"/>
      </w:tblGrid>
      <w:tr>
        <w:tblPrEx>
          <w:tblCellMar>
            <w:top w:w="0" w:type="dxa"/>
            <w:left w:w="108" w:type="dxa"/>
            <w:bottom w:w="0" w:type="dxa"/>
            <w:right w:w="108" w:type="dxa"/>
          </w:tblCellMar>
        </w:tblPrEx>
        <w:trPr>
          <w:trHeight w:val="270" w:hRule="atLeast"/>
        </w:trPr>
        <w:tc>
          <w:tcPr>
            <w:tcW w:w="1080" w:type="dxa"/>
            <w:tcBorders>
              <w:top w:val="single" w:color="auto" w:sz="4" w:space="0"/>
              <w:left w:val="single" w:color="auto" w:sz="4" w:space="0"/>
              <w:bottom w:val="nil"/>
              <w:right w:val="single" w:color="auto" w:sz="4" w:space="0"/>
            </w:tcBorders>
            <w:shd w:val="clear" w:color="000000" w:fill="F2F2F2"/>
            <w:vAlign w:val="center"/>
          </w:tcPr>
          <w:p>
            <w:pPr>
              <w:spacing w:after="0" w:line="240" w:lineRule="auto"/>
              <w:ind w:left="0" w:firstLine="0"/>
              <w:jc w:val="center"/>
              <w:rPr>
                <w:rFonts w:ascii="宋体" w:hAnsi="宋体" w:eastAsia="宋体" w:cs="宋体"/>
                <w:kern w:val="0"/>
                <w:sz w:val="20"/>
                <w:szCs w:val="20"/>
              </w:rPr>
            </w:pPr>
            <w:bookmarkStart w:id="63" w:name="_Toc43030414"/>
            <w:r>
              <w:rPr>
                <w:rFonts w:hint="eastAsia" w:ascii="宋体" w:hAnsi="宋体" w:eastAsia="宋体" w:cs="宋体"/>
                <w:kern w:val="0"/>
                <w:sz w:val="20"/>
                <w:szCs w:val="20"/>
              </w:rPr>
              <w:t>部位</w:t>
            </w:r>
          </w:p>
        </w:tc>
        <w:tc>
          <w:tcPr>
            <w:tcW w:w="5960" w:type="dxa"/>
            <w:tcBorders>
              <w:top w:val="single" w:color="auto" w:sz="4" w:space="0"/>
              <w:left w:val="nil"/>
              <w:bottom w:val="nil"/>
              <w:right w:val="single" w:color="auto" w:sz="4" w:space="0"/>
            </w:tcBorders>
            <w:shd w:val="clear" w:color="000000" w:fill="F2F2F2"/>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排查内容</w:t>
            </w:r>
          </w:p>
        </w:tc>
        <w:tc>
          <w:tcPr>
            <w:tcW w:w="1440" w:type="dxa"/>
            <w:tcBorders>
              <w:top w:val="single" w:color="auto" w:sz="4" w:space="0"/>
              <w:left w:val="nil"/>
              <w:bottom w:val="single" w:color="auto" w:sz="4" w:space="0"/>
              <w:right w:val="single" w:color="auto" w:sz="4" w:space="0"/>
            </w:tcBorders>
            <w:shd w:val="clear" w:color="000000" w:fill="F2F2F2"/>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排查结果</w:t>
            </w:r>
          </w:p>
        </w:tc>
      </w:tr>
      <w:tr>
        <w:tblPrEx>
          <w:tblCellMar>
            <w:top w:w="0" w:type="dxa"/>
            <w:left w:w="108" w:type="dxa"/>
            <w:bottom w:w="0" w:type="dxa"/>
            <w:right w:w="108" w:type="dxa"/>
          </w:tblCellMar>
        </w:tblPrEx>
        <w:trPr>
          <w:trHeight w:val="402"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组织准备</w:t>
            </w:r>
          </w:p>
        </w:tc>
        <w:tc>
          <w:tcPr>
            <w:tcW w:w="5960"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领导小组成立，组织体系及职责明确。</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应急队伍成立，人员充足、信息明确。</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按规定开展动员准备工作。</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应急预案</w:t>
            </w: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应急预案（现场处置方案）建立健全、内容合理。</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按规定开展应急演练。</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监测预警</w:t>
            </w: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按规定开展领导带班、员工值班。</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专人监测预警、信息收集齐全。</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按规定开展上传下达工作。</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应急保障</w:t>
            </w: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通讯器材及线路齐全有效。</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除雪资金充足。</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应急物资配备齐全，位置合理。</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600" w:hRule="atLeast"/>
        </w:trPr>
        <w:tc>
          <w:tcPr>
            <w:tcW w:w="108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300" w:lineRule="exact"/>
              <w:ind w:left="0" w:firstLine="0"/>
              <w:rPr>
                <w:rFonts w:ascii="宋体" w:hAnsi="宋体" w:eastAsia="宋体" w:cs="宋体"/>
                <w:kern w:val="0"/>
                <w:sz w:val="20"/>
                <w:szCs w:val="20"/>
              </w:rPr>
            </w:pPr>
            <w:r>
              <w:rPr>
                <w:rFonts w:hint="eastAsia" w:ascii="宋体" w:hAnsi="宋体" w:eastAsia="宋体" w:cs="宋体"/>
                <w:kern w:val="0"/>
                <w:sz w:val="20"/>
                <w:szCs w:val="20"/>
              </w:rPr>
              <w:t>融雪剂撒布车、预警车、物资运输车、除雪铲、融雪剂、除雪板、防滑链等。</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restart"/>
            <w:tcBorders>
              <w:top w:val="nil"/>
              <w:left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设备设施防护　</w:t>
            </w: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除雪铲各部件连接稳固，液压设备正常。</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vMerge w:val="continue"/>
            <w:tcBorders>
              <w:left w:val="single" w:color="auto" w:sz="4" w:space="0"/>
              <w:right w:val="single" w:color="auto" w:sz="4" w:space="0"/>
            </w:tcBorders>
            <w:vAlign w:val="center"/>
          </w:tcPr>
          <w:p>
            <w:pPr>
              <w:spacing w:after="0" w:line="240" w:lineRule="auto"/>
              <w:ind w:left="0"/>
              <w:jc w:val="center"/>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融雪剂撒布车启动正常，撒布均匀。</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20" w:hRule="atLeast"/>
        </w:trPr>
        <w:tc>
          <w:tcPr>
            <w:tcW w:w="1080" w:type="dxa"/>
            <w:vMerge w:val="continue"/>
            <w:tcBorders>
              <w:left w:val="single" w:color="auto" w:sz="4" w:space="0"/>
              <w:right w:val="single" w:color="auto" w:sz="4" w:space="0"/>
            </w:tcBorders>
            <w:vAlign w:val="center"/>
          </w:tcPr>
          <w:p>
            <w:pPr>
              <w:spacing w:after="0" w:line="240" w:lineRule="auto"/>
              <w:ind w:left="0"/>
              <w:jc w:val="center"/>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预警车辆防滑链安装牢固。</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20" w:hRule="atLeast"/>
        </w:trPr>
        <w:tc>
          <w:tcPr>
            <w:tcW w:w="1080" w:type="dxa"/>
            <w:vMerge w:val="continue"/>
            <w:tcBorders>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车辆警示装置正常开启。</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02"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ascii="宋体" w:hAnsi="宋体" w:eastAsia="宋体" w:cs="宋体"/>
                <w:kern w:val="0"/>
                <w:sz w:val="20"/>
                <w:szCs w:val="20"/>
              </w:rPr>
            </w:pPr>
            <w:r>
              <w:rPr>
                <w:rFonts w:hint="eastAsia" w:ascii="宋体" w:hAnsi="宋体" w:eastAsia="宋体" w:cs="宋体"/>
                <w:kern w:val="0"/>
                <w:sz w:val="20"/>
                <w:szCs w:val="20"/>
              </w:rPr>
              <w:t>其他</w:t>
            </w:r>
          </w:p>
        </w:tc>
        <w:tc>
          <w:tcPr>
            <w:tcW w:w="5960"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按上级要求开展其他除雪工作。</w:t>
            </w:r>
          </w:p>
        </w:tc>
        <w:tc>
          <w:tcPr>
            <w:tcW w:w="1440" w:type="dxa"/>
            <w:tcBorders>
              <w:top w:val="nil"/>
              <w:left w:val="nil"/>
              <w:bottom w:val="single" w:color="auto" w:sz="4" w:space="0"/>
              <w:right w:val="single" w:color="auto" w:sz="4" w:space="0"/>
            </w:tcBorders>
            <w:shd w:val="clear" w:color="auto" w:fill="auto"/>
            <w:noWrap/>
            <w:vAlign w:val="center"/>
          </w:tcPr>
          <w:p>
            <w:pPr>
              <w:spacing w:after="0" w:line="240" w:lineRule="auto"/>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CellMar>
            <w:top w:w="0" w:type="dxa"/>
            <w:left w:w="108" w:type="dxa"/>
            <w:bottom w:w="0" w:type="dxa"/>
            <w:right w:w="108" w:type="dxa"/>
          </w:tblCellMar>
        </w:tblPrEx>
        <w:trPr>
          <w:trHeight w:val="420" w:hRule="atLeast"/>
        </w:trPr>
        <w:tc>
          <w:tcPr>
            <w:tcW w:w="848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spacing w:after="0" w:line="240" w:lineRule="auto"/>
              <w:ind w:left="0" w:firstLine="0"/>
              <w:rPr>
                <w:rFonts w:ascii="宋体" w:hAnsi="宋体" w:eastAsia="宋体" w:cs="宋体"/>
                <w:kern w:val="0"/>
                <w:sz w:val="20"/>
                <w:szCs w:val="20"/>
              </w:rPr>
            </w:pPr>
            <w:r>
              <w:rPr>
                <w:rFonts w:hint="eastAsia" w:ascii="宋体" w:hAnsi="宋体" w:eastAsia="宋体" w:cs="宋体"/>
                <w:kern w:val="0"/>
                <w:sz w:val="20"/>
                <w:szCs w:val="20"/>
              </w:rPr>
              <w:t>组织人：                        参加人员：                    日期:</w:t>
            </w:r>
          </w:p>
        </w:tc>
      </w:tr>
    </w:tbl>
    <w:p>
      <w:pPr>
        <w:widowControl w:val="0"/>
        <w:spacing w:after="0" w:line="360" w:lineRule="auto"/>
        <w:ind w:left="0" w:firstLine="482"/>
        <w:jc w:val="both"/>
        <w:outlineLvl w:val="2"/>
        <w:rPr>
          <w:rFonts w:ascii="宋体" w:hAnsi="宋体" w:eastAsia="宋体" w:cs="宋体"/>
          <w:b/>
          <w:kern w:val="0"/>
          <w:szCs w:val="18"/>
        </w:rPr>
      </w:pPr>
      <w:bookmarkStart w:id="64" w:name="_Toc104720420"/>
      <w:bookmarkStart w:id="65" w:name="_Toc105769813"/>
      <w:r>
        <w:rPr>
          <w:rFonts w:hint="eastAsia" w:ascii="宋体" w:hAnsi="宋体" w:eastAsia="宋体" w:cs="宋体"/>
          <w:b/>
          <w:kern w:val="0"/>
          <w:szCs w:val="18"/>
        </w:rPr>
        <w:t>3.4.4防疫专项隐患排查清单</w:t>
      </w:r>
      <w:bookmarkEnd w:id="63"/>
      <w:bookmarkEnd w:id="64"/>
      <w:bookmarkEnd w:id="65"/>
    </w:p>
    <w:p>
      <w:pPr>
        <w:widowControl w:val="0"/>
        <w:spacing w:after="0" w:line="560" w:lineRule="exact"/>
        <w:ind w:left="0" w:firstLine="432" w:firstLineChars="200"/>
        <w:jc w:val="center"/>
        <w:rPr>
          <w:rFonts w:cs="Calibri" w:asciiTheme="minorEastAsia" w:hAnsiTheme="minorEastAsia" w:eastAsiaTheme="minorEastAsia"/>
          <w:b/>
          <w:sz w:val="22"/>
          <w:szCs w:val="24"/>
        </w:rPr>
      </w:pPr>
      <w:r>
        <w:rPr>
          <w:rFonts w:hint="eastAsia" w:cs="Calibri" w:asciiTheme="minorEastAsia" w:hAnsiTheme="minorEastAsia" w:eastAsiaTheme="minorEastAsia"/>
          <w:b/>
          <w:sz w:val="22"/>
          <w:szCs w:val="24"/>
        </w:rPr>
        <w:t>表3-</w:t>
      </w:r>
      <w:r>
        <w:rPr>
          <w:rFonts w:cs="Calibri" w:asciiTheme="minorEastAsia" w:hAnsiTheme="minorEastAsia" w:eastAsiaTheme="minorEastAsia"/>
          <w:b/>
          <w:sz w:val="22"/>
          <w:szCs w:val="24"/>
        </w:rPr>
        <w:t>16</w:t>
      </w:r>
      <w:r>
        <w:rPr>
          <w:rFonts w:hint="eastAsia" w:cs="Calibri" w:asciiTheme="minorEastAsia" w:hAnsiTheme="minorEastAsia" w:eastAsiaTheme="minorEastAsia"/>
          <w:b/>
          <w:sz w:val="22"/>
          <w:szCs w:val="24"/>
        </w:rPr>
        <w:t>防疫专项隐患排查记录</w:t>
      </w:r>
    </w:p>
    <w:tbl>
      <w:tblPr>
        <w:tblStyle w:val="30"/>
        <w:tblW w:w="8760" w:type="dxa"/>
        <w:tblInd w:w="93" w:type="dxa"/>
        <w:tblLayout w:type="autofit"/>
        <w:tblCellMar>
          <w:top w:w="0" w:type="dxa"/>
          <w:left w:w="108" w:type="dxa"/>
          <w:bottom w:w="0" w:type="dxa"/>
          <w:right w:w="108" w:type="dxa"/>
        </w:tblCellMar>
      </w:tblPr>
      <w:tblGrid>
        <w:gridCol w:w="1300"/>
        <w:gridCol w:w="6086"/>
        <w:gridCol w:w="1374"/>
      </w:tblGrid>
      <w:tr>
        <w:tblPrEx>
          <w:tblCellMar>
            <w:top w:w="0" w:type="dxa"/>
            <w:left w:w="108" w:type="dxa"/>
            <w:bottom w:w="0" w:type="dxa"/>
            <w:right w:w="108" w:type="dxa"/>
          </w:tblCellMar>
        </w:tblPrEx>
        <w:trPr>
          <w:trHeight w:val="600" w:hRule="atLeast"/>
          <w:tblHeader/>
        </w:trPr>
        <w:tc>
          <w:tcPr>
            <w:tcW w:w="1300"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排查要点</w:t>
            </w:r>
          </w:p>
        </w:tc>
        <w:tc>
          <w:tcPr>
            <w:tcW w:w="6086" w:type="dxa"/>
            <w:tcBorders>
              <w:top w:val="single" w:color="auto" w:sz="4" w:space="0"/>
              <w:left w:val="nil"/>
              <w:bottom w:val="single" w:color="auto" w:sz="4" w:space="0"/>
              <w:right w:val="single" w:color="auto" w:sz="4"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排查内容</w:t>
            </w:r>
          </w:p>
        </w:tc>
        <w:tc>
          <w:tcPr>
            <w:tcW w:w="1374" w:type="dxa"/>
            <w:tcBorders>
              <w:top w:val="single" w:color="auto" w:sz="4" w:space="0"/>
              <w:left w:val="nil"/>
              <w:bottom w:val="single" w:color="auto" w:sz="4" w:space="0"/>
              <w:right w:val="single" w:color="auto" w:sz="4"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排查结果</w:t>
            </w:r>
          </w:p>
        </w:tc>
      </w:tr>
      <w:tr>
        <w:tblPrEx>
          <w:tblCellMar>
            <w:top w:w="0" w:type="dxa"/>
            <w:left w:w="108" w:type="dxa"/>
            <w:bottom w:w="0" w:type="dxa"/>
            <w:right w:w="108" w:type="dxa"/>
          </w:tblCellMar>
        </w:tblPrEx>
        <w:trPr>
          <w:trHeight w:val="600" w:hRule="atLeast"/>
        </w:trPr>
        <w:tc>
          <w:tcPr>
            <w:tcW w:w="130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组织准备</w:t>
            </w: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领导小组成立，组织体系及职责明确。</w:t>
            </w:r>
          </w:p>
        </w:tc>
        <w:tc>
          <w:tcPr>
            <w:tcW w:w="1374"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应急队伍成立，疏导及防疫人员配备充足。</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300" w:lineRule="exact"/>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与交警、路政、医院、防疫等部门联防联控机制健全，信息通道畅通。</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按规定开展动员准备和教育培训工作。</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应急预案</w:t>
            </w: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应急预案（现场处置方案）建立健全、内容合理。</w:t>
            </w:r>
          </w:p>
        </w:tc>
        <w:tc>
          <w:tcPr>
            <w:tcW w:w="1374"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按规定开展应急演练。</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监测预警</w:t>
            </w: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按规定开展领导带班、员工值班。</w:t>
            </w:r>
          </w:p>
        </w:tc>
        <w:tc>
          <w:tcPr>
            <w:tcW w:w="1374"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专人监测预警、信息收集齐全，按规定开展上传下达工作。</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员工防疫</w:t>
            </w: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按规定出入登记、轮岗轮班管理。</w:t>
            </w:r>
          </w:p>
        </w:tc>
        <w:tc>
          <w:tcPr>
            <w:tcW w:w="1374"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通风空调及换气设备正常。</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洗手、消毒、清洁、医疗等物资配备齐全。</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员工聚集、集体活动、用餐、外出及垃圾处理符合规定。</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按规定设置隔离观察区域。</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员工按规定进行健康监测，上报。</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1300" w:type="dxa"/>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其他</w:t>
            </w:r>
          </w:p>
        </w:tc>
        <w:tc>
          <w:tcPr>
            <w:tcW w:w="6086"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按上级要求开展其他防疫专项隐患排查治理工作。</w:t>
            </w:r>
          </w:p>
        </w:tc>
        <w:tc>
          <w:tcPr>
            <w:tcW w:w="1374"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kern w:val="0"/>
                <w:sz w:val="20"/>
                <w:szCs w:val="20"/>
              </w:rPr>
            </w:pPr>
          </w:p>
        </w:tc>
      </w:tr>
      <w:tr>
        <w:tblPrEx>
          <w:tblCellMar>
            <w:top w:w="0" w:type="dxa"/>
            <w:left w:w="108" w:type="dxa"/>
            <w:bottom w:w="0" w:type="dxa"/>
            <w:right w:w="108" w:type="dxa"/>
          </w:tblCellMar>
        </w:tblPrEx>
        <w:trPr>
          <w:trHeight w:val="600" w:hRule="atLeast"/>
        </w:trPr>
        <w:tc>
          <w:tcPr>
            <w:tcW w:w="876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spacing w:after="0" w:line="240" w:lineRule="auto"/>
              <w:ind w:left="0" w:firstLine="0"/>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组织人：               参加人员：                               日期：</w:t>
            </w:r>
          </w:p>
        </w:tc>
      </w:tr>
    </w:tbl>
    <w:p>
      <w:pPr>
        <w:widowControl w:val="0"/>
        <w:spacing w:before="292" w:beforeLines="50" w:after="292" w:afterLines="50" w:line="560" w:lineRule="exact"/>
        <w:ind w:left="0" w:hanging="11"/>
        <w:outlineLvl w:val="1"/>
        <w:rPr>
          <w:rFonts w:cs="Calibri" w:asciiTheme="minorEastAsia" w:hAnsiTheme="minorEastAsia" w:eastAsiaTheme="minorEastAsia"/>
          <w:sz w:val="22"/>
          <w:szCs w:val="24"/>
        </w:rPr>
      </w:pPr>
    </w:p>
    <w:sectPr>
      <w:headerReference r:id="rId14" w:type="default"/>
      <w:pgSz w:w="11906" w:h="16838"/>
      <w:pgMar w:top="1985" w:right="1531" w:bottom="1985" w:left="1531" w:header="851" w:footer="1134" w:gutter="0"/>
      <w:cols w:space="720" w:num="1"/>
      <w:docGrid w:type="linesAndChars" w:linePitch="584"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Noto Sans CJK JP Regular">
    <w:altName w:val="Arial"/>
    <w:panose1 w:val="00000000000000000000"/>
    <w:charset w:val="00"/>
    <w:family w:val="swiss"/>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华文隶书">
    <w:altName w:val="微软雅黑"/>
    <w:panose1 w:val="0201080004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6</w:t>
    </w:r>
    <w:r>
      <w:rPr>
        <w:lang w:val="zh-CN"/>
      </w:rP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67</w:t>
    </w:r>
    <w:r>
      <w:rPr>
        <w:lang w:val="zh-CN"/>
      </w:rP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68</w:t>
    </w:r>
    <w:r>
      <w:rPr>
        <w:lang w:val="zh-CN"/>
      </w:rPr>
      <w:fldChar w:fldCharType="end"/>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135</w:t>
    </w:r>
    <w:r>
      <w:rPr>
        <w:lang w:val="zh-CN"/>
      </w:rP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208"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40" w:lineRule="auto"/>
      <w:ind w:left="12" w:hanging="12" w:hangingChars="5"/>
    </w:pP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after="0"/>
      <w:ind w:left="0" w:firstLine="0"/>
      <w:rPr>
        <w:rFonts w:ascii="华文中宋" w:hAnsi="华文中宋" w:eastAsia="华文中宋"/>
        <w:sz w:val="24"/>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after="0"/>
      <w:ind w:left="0" w:firstLine="0"/>
      <w:rPr>
        <w:rFonts w:ascii="华文中宋" w:hAnsi="华文中宋" w:eastAsia="华文中宋"/>
        <w:sz w:val="24"/>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39583C"/>
    <w:multiLevelType w:val="multilevel"/>
    <w:tmpl w:val="0339583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0410DEB"/>
    <w:multiLevelType w:val="multilevel"/>
    <w:tmpl w:val="20410DE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F0334A2"/>
    <w:multiLevelType w:val="multilevel"/>
    <w:tmpl w:val="2F0334A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30306021"/>
    <w:multiLevelType w:val="multilevel"/>
    <w:tmpl w:val="3030602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2DD767D"/>
    <w:multiLevelType w:val="multilevel"/>
    <w:tmpl w:val="32DD767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5E838D4"/>
    <w:multiLevelType w:val="multilevel"/>
    <w:tmpl w:val="35E838D4"/>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6">
    <w:nsid w:val="45C26F4E"/>
    <w:multiLevelType w:val="multilevel"/>
    <w:tmpl w:val="45C26F4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7">
    <w:nsid w:val="500B0A6E"/>
    <w:multiLevelType w:val="multilevel"/>
    <w:tmpl w:val="500B0A6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8">
    <w:nsid w:val="56D73BEB"/>
    <w:multiLevelType w:val="multilevel"/>
    <w:tmpl w:val="56D73BEB"/>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9">
    <w:nsid w:val="67876B5A"/>
    <w:multiLevelType w:val="multilevel"/>
    <w:tmpl w:val="67876B5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739B4123"/>
    <w:multiLevelType w:val="multilevel"/>
    <w:tmpl w:val="739B412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7CFF1E66"/>
    <w:multiLevelType w:val="multilevel"/>
    <w:tmpl w:val="7CFF1E6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2"/>
  </w:num>
  <w:num w:numId="3">
    <w:abstractNumId w:val="9"/>
  </w:num>
  <w:num w:numId="4">
    <w:abstractNumId w:val="4"/>
  </w:num>
  <w:num w:numId="5">
    <w:abstractNumId w:val="6"/>
  </w:num>
  <w:num w:numId="6">
    <w:abstractNumId w:val="7"/>
  </w:num>
  <w:num w:numId="7">
    <w:abstractNumId w:val="5"/>
  </w:num>
  <w:num w:numId="8">
    <w:abstractNumId w:val="8"/>
  </w:num>
  <w:num w:numId="9">
    <w:abstractNumId w:val="11"/>
  </w:num>
  <w:num w:numId="10">
    <w:abstractNumId w:val="3"/>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18"/>
  <w:drawingGridVerticalSpacing w:val="292"/>
  <w:displayHorizontalDrawingGridEvery w:val="2"/>
  <w:displayVerticalDrawingGridEvery w:val="2"/>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docVars>
    <w:docVar w:name="commondata" w:val="eyJoZGlkIjoiMjRmYWU2YTQ4YmFjZmU4NThjZDA1NzAzZTAyMDBhMDkifQ=="/>
  </w:docVars>
  <w:rsids>
    <w:rsidRoot w:val="00104BE5"/>
    <w:rsid w:val="000002B9"/>
    <w:rsid w:val="00001748"/>
    <w:rsid w:val="000025D2"/>
    <w:rsid w:val="00002700"/>
    <w:rsid w:val="000028D4"/>
    <w:rsid w:val="00005483"/>
    <w:rsid w:val="00005E8E"/>
    <w:rsid w:val="00006CDE"/>
    <w:rsid w:val="000076B0"/>
    <w:rsid w:val="0000799E"/>
    <w:rsid w:val="00007C02"/>
    <w:rsid w:val="00010357"/>
    <w:rsid w:val="000105D7"/>
    <w:rsid w:val="0001120C"/>
    <w:rsid w:val="0001196F"/>
    <w:rsid w:val="0001292E"/>
    <w:rsid w:val="00012E35"/>
    <w:rsid w:val="000135F9"/>
    <w:rsid w:val="0001410A"/>
    <w:rsid w:val="0001553F"/>
    <w:rsid w:val="00016F6F"/>
    <w:rsid w:val="00017D73"/>
    <w:rsid w:val="00020829"/>
    <w:rsid w:val="00020CB3"/>
    <w:rsid w:val="00021892"/>
    <w:rsid w:val="00021BB6"/>
    <w:rsid w:val="00022BB8"/>
    <w:rsid w:val="000233D6"/>
    <w:rsid w:val="00023851"/>
    <w:rsid w:val="00023FBD"/>
    <w:rsid w:val="0002607F"/>
    <w:rsid w:val="0002698B"/>
    <w:rsid w:val="00030A93"/>
    <w:rsid w:val="0003105C"/>
    <w:rsid w:val="000319F9"/>
    <w:rsid w:val="00032B6F"/>
    <w:rsid w:val="00035076"/>
    <w:rsid w:val="000354D4"/>
    <w:rsid w:val="00036CB3"/>
    <w:rsid w:val="000375D0"/>
    <w:rsid w:val="0004053E"/>
    <w:rsid w:val="00040765"/>
    <w:rsid w:val="000408FF"/>
    <w:rsid w:val="0004191B"/>
    <w:rsid w:val="000423ED"/>
    <w:rsid w:val="00042B87"/>
    <w:rsid w:val="0004341D"/>
    <w:rsid w:val="00043C86"/>
    <w:rsid w:val="00043D84"/>
    <w:rsid w:val="00044043"/>
    <w:rsid w:val="000457C1"/>
    <w:rsid w:val="00046160"/>
    <w:rsid w:val="00046823"/>
    <w:rsid w:val="00046F4A"/>
    <w:rsid w:val="000470AF"/>
    <w:rsid w:val="00047103"/>
    <w:rsid w:val="00047CA5"/>
    <w:rsid w:val="00047E5F"/>
    <w:rsid w:val="00050758"/>
    <w:rsid w:val="00050D14"/>
    <w:rsid w:val="00051085"/>
    <w:rsid w:val="00051372"/>
    <w:rsid w:val="00052981"/>
    <w:rsid w:val="00052B91"/>
    <w:rsid w:val="00053183"/>
    <w:rsid w:val="00053538"/>
    <w:rsid w:val="000549A4"/>
    <w:rsid w:val="00055C8F"/>
    <w:rsid w:val="00055DC5"/>
    <w:rsid w:val="00055EB8"/>
    <w:rsid w:val="0005608F"/>
    <w:rsid w:val="000563DF"/>
    <w:rsid w:val="0005685D"/>
    <w:rsid w:val="00056872"/>
    <w:rsid w:val="000568B6"/>
    <w:rsid w:val="00060426"/>
    <w:rsid w:val="0006077F"/>
    <w:rsid w:val="000615AA"/>
    <w:rsid w:val="00063C5D"/>
    <w:rsid w:val="00064611"/>
    <w:rsid w:val="0006514A"/>
    <w:rsid w:val="000655DB"/>
    <w:rsid w:val="0006598E"/>
    <w:rsid w:val="00065CAA"/>
    <w:rsid w:val="000660B8"/>
    <w:rsid w:val="0006623E"/>
    <w:rsid w:val="00066758"/>
    <w:rsid w:val="00067307"/>
    <w:rsid w:val="0006735D"/>
    <w:rsid w:val="00067448"/>
    <w:rsid w:val="00067AF1"/>
    <w:rsid w:val="00070A14"/>
    <w:rsid w:val="00070E44"/>
    <w:rsid w:val="00071F15"/>
    <w:rsid w:val="000722FB"/>
    <w:rsid w:val="00072CE2"/>
    <w:rsid w:val="00073583"/>
    <w:rsid w:val="0007376C"/>
    <w:rsid w:val="000758C8"/>
    <w:rsid w:val="00075B1A"/>
    <w:rsid w:val="00076136"/>
    <w:rsid w:val="00077D64"/>
    <w:rsid w:val="000803D2"/>
    <w:rsid w:val="00081173"/>
    <w:rsid w:val="00081D2C"/>
    <w:rsid w:val="00082880"/>
    <w:rsid w:val="00082D47"/>
    <w:rsid w:val="00082EDE"/>
    <w:rsid w:val="00082F65"/>
    <w:rsid w:val="0008338A"/>
    <w:rsid w:val="00083E04"/>
    <w:rsid w:val="0008419E"/>
    <w:rsid w:val="00084476"/>
    <w:rsid w:val="00084C2A"/>
    <w:rsid w:val="000865F8"/>
    <w:rsid w:val="000875FA"/>
    <w:rsid w:val="000879D5"/>
    <w:rsid w:val="00090099"/>
    <w:rsid w:val="00090EC3"/>
    <w:rsid w:val="00090F11"/>
    <w:rsid w:val="000918B4"/>
    <w:rsid w:val="000936E5"/>
    <w:rsid w:val="0009384A"/>
    <w:rsid w:val="0009390F"/>
    <w:rsid w:val="00094723"/>
    <w:rsid w:val="000949AF"/>
    <w:rsid w:val="000949BF"/>
    <w:rsid w:val="000951D9"/>
    <w:rsid w:val="00096B8F"/>
    <w:rsid w:val="00097EFF"/>
    <w:rsid w:val="000A036F"/>
    <w:rsid w:val="000A041D"/>
    <w:rsid w:val="000A1260"/>
    <w:rsid w:val="000A1934"/>
    <w:rsid w:val="000A1F09"/>
    <w:rsid w:val="000A2319"/>
    <w:rsid w:val="000A2643"/>
    <w:rsid w:val="000A36AA"/>
    <w:rsid w:val="000A3937"/>
    <w:rsid w:val="000A4F04"/>
    <w:rsid w:val="000A523D"/>
    <w:rsid w:val="000A536D"/>
    <w:rsid w:val="000A6C06"/>
    <w:rsid w:val="000B07A7"/>
    <w:rsid w:val="000B1A88"/>
    <w:rsid w:val="000B1E50"/>
    <w:rsid w:val="000B3421"/>
    <w:rsid w:val="000B36A3"/>
    <w:rsid w:val="000B3D2F"/>
    <w:rsid w:val="000B4BE5"/>
    <w:rsid w:val="000B6310"/>
    <w:rsid w:val="000B6330"/>
    <w:rsid w:val="000B7B1E"/>
    <w:rsid w:val="000B7B77"/>
    <w:rsid w:val="000C0246"/>
    <w:rsid w:val="000C0301"/>
    <w:rsid w:val="000C0405"/>
    <w:rsid w:val="000C0D11"/>
    <w:rsid w:val="000C12F0"/>
    <w:rsid w:val="000C2960"/>
    <w:rsid w:val="000C2B39"/>
    <w:rsid w:val="000C3798"/>
    <w:rsid w:val="000C3D71"/>
    <w:rsid w:val="000C41AC"/>
    <w:rsid w:val="000C4620"/>
    <w:rsid w:val="000C4AB5"/>
    <w:rsid w:val="000C4BF3"/>
    <w:rsid w:val="000C4D4C"/>
    <w:rsid w:val="000C5BA7"/>
    <w:rsid w:val="000C67F1"/>
    <w:rsid w:val="000C6A03"/>
    <w:rsid w:val="000C6A55"/>
    <w:rsid w:val="000C6E3F"/>
    <w:rsid w:val="000D023B"/>
    <w:rsid w:val="000D0978"/>
    <w:rsid w:val="000D0DB1"/>
    <w:rsid w:val="000D1550"/>
    <w:rsid w:val="000D277C"/>
    <w:rsid w:val="000D2890"/>
    <w:rsid w:val="000E0147"/>
    <w:rsid w:val="000E08B7"/>
    <w:rsid w:val="000E15A6"/>
    <w:rsid w:val="000E29BE"/>
    <w:rsid w:val="000E2C7F"/>
    <w:rsid w:val="000E32E9"/>
    <w:rsid w:val="000E3E9B"/>
    <w:rsid w:val="000E3FF4"/>
    <w:rsid w:val="000E431A"/>
    <w:rsid w:val="000E490B"/>
    <w:rsid w:val="000E50F3"/>
    <w:rsid w:val="000E52CC"/>
    <w:rsid w:val="000E7353"/>
    <w:rsid w:val="000E79B9"/>
    <w:rsid w:val="000E7CED"/>
    <w:rsid w:val="000F0D9A"/>
    <w:rsid w:val="000F1A77"/>
    <w:rsid w:val="000F1FF0"/>
    <w:rsid w:val="000F213A"/>
    <w:rsid w:val="000F3236"/>
    <w:rsid w:val="000F3775"/>
    <w:rsid w:val="000F43EC"/>
    <w:rsid w:val="000F4BF7"/>
    <w:rsid w:val="000F52AD"/>
    <w:rsid w:val="000F5741"/>
    <w:rsid w:val="000F5AB4"/>
    <w:rsid w:val="000F5CC1"/>
    <w:rsid w:val="000F645C"/>
    <w:rsid w:val="000F788A"/>
    <w:rsid w:val="000F7FDD"/>
    <w:rsid w:val="00100045"/>
    <w:rsid w:val="00100F51"/>
    <w:rsid w:val="00101568"/>
    <w:rsid w:val="0010315A"/>
    <w:rsid w:val="00104BE5"/>
    <w:rsid w:val="00105161"/>
    <w:rsid w:val="001059F2"/>
    <w:rsid w:val="00105CEB"/>
    <w:rsid w:val="001066AF"/>
    <w:rsid w:val="0010717D"/>
    <w:rsid w:val="0011034C"/>
    <w:rsid w:val="00111F63"/>
    <w:rsid w:val="001130D6"/>
    <w:rsid w:val="00113F88"/>
    <w:rsid w:val="0011400D"/>
    <w:rsid w:val="00114720"/>
    <w:rsid w:val="0011641D"/>
    <w:rsid w:val="00117199"/>
    <w:rsid w:val="001222A3"/>
    <w:rsid w:val="00122540"/>
    <w:rsid w:val="001227DE"/>
    <w:rsid w:val="00122FE5"/>
    <w:rsid w:val="00123225"/>
    <w:rsid w:val="001232C7"/>
    <w:rsid w:val="00125432"/>
    <w:rsid w:val="00125C03"/>
    <w:rsid w:val="00125DE8"/>
    <w:rsid w:val="00126809"/>
    <w:rsid w:val="0012713A"/>
    <w:rsid w:val="00127C60"/>
    <w:rsid w:val="00130D49"/>
    <w:rsid w:val="00131C90"/>
    <w:rsid w:val="00133CBA"/>
    <w:rsid w:val="00133F34"/>
    <w:rsid w:val="00134860"/>
    <w:rsid w:val="0013582B"/>
    <w:rsid w:val="00135BE7"/>
    <w:rsid w:val="00135E31"/>
    <w:rsid w:val="00137643"/>
    <w:rsid w:val="0013799B"/>
    <w:rsid w:val="001402FA"/>
    <w:rsid w:val="0014070B"/>
    <w:rsid w:val="0014148C"/>
    <w:rsid w:val="001414AB"/>
    <w:rsid w:val="0014228F"/>
    <w:rsid w:val="00142826"/>
    <w:rsid w:val="00142F07"/>
    <w:rsid w:val="00143C6D"/>
    <w:rsid w:val="00143CAD"/>
    <w:rsid w:val="0014450B"/>
    <w:rsid w:val="0014492F"/>
    <w:rsid w:val="00145C7D"/>
    <w:rsid w:val="00145F97"/>
    <w:rsid w:val="00146AB0"/>
    <w:rsid w:val="00146C60"/>
    <w:rsid w:val="00147651"/>
    <w:rsid w:val="001477CC"/>
    <w:rsid w:val="00151E75"/>
    <w:rsid w:val="00152289"/>
    <w:rsid w:val="001523F5"/>
    <w:rsid w:val="00152434"/>
    <w:rsid w:val="00153202"/>
    <w:rsid w:val="001540D2"/>
    <w:rsid w:val="00154373"/>
    <w:rsid w:val="00154F6D"/>
    <w:rsid w:val="00155F2A"/>
    <w:rsid w:val="00156356"/>
    <w:rsid w:val="001570DB"/>
    <w:rsid w:val="00161290"/>
    <w:rsid w:val="0016257C"/>
    <w:rsid w:val="0016409F"/>
    <w:rsid w:val="00165EBD"/>
    <w:rsid w:val="00166329"/>
    <w:rsid w:val="00167DB6"/>
    <w:rsid w:val="00167E8E"/>
    <w:rsid w:val="001727DD"/>
    <w:rsid w:val="00172DD9"/>
    <w:rsid w:val="00173125"/>
    <w:rsid w:val="00173C80"/>
    <w:rsid w:val="001740F3"/>
    <w:rsid w:val="001743C9"/>
    <w:rsid w:val="00174545"/>
    <w:rsid w:val="00174780"/>
    <w:rsid w:val="0017481F"/>
    <w:rsid w:val="00174F14"/>
    <w:rsid w:val="001750D5"/>
    <w:rsid w:val="0017563E"/>
    <w:rsid w:val="0017570F"/>
    <w:rsid w:val="00175B2A"/>
    <w:rsid w:val="001765A6"/>
    <w:rsid w:val="00176B3E"/>
    <w:rsid w:val="0017785C"/>
    <w:rsid w:val="0018049A"/>
    <w:rsid w:val="00181333"/>
    <w:rsid w:val="00181679"/>
    <w:rsid w:val="001826AF"/>
    <w:rsid w:val="00182B6B"/>
    <w:rsid w:val="00182DEF"/>
    <w:rsid w:val="00184341"/>
    <w:rsid w:val="00184B87"/>
    <w:rsid w:val="00184C64"/>
    <w:rsid w:val="00185C63"/>
    <w:rsid w:val="00186DC3"/>
    <w:rsid w:val="00186FAD"/>
    <w:rsid w:val="00187921"/>
    <w:rsid w:val="00187B9B"/>
    <w:rsid w:val="0019072C"/>
    <w:rsid w:val="0019137E"/>
    <w:rsid w:val="00192781"/>
    <w:rsid w:val="001928E2"/>
    <w:rsid w:val="00193C25"/>
    <w:rsid w:val="0019506B"/>
    <w:rsid w:val="00196762"/>
    <w:rsid w:val="001A03B6"/>
    <w:rsid w:val="001A0871"/>
    <w:rsid w:val="001A1903"/>
    <w:rsid w:val="001A30D6"/>
    <w:rsid w:val="001A3169"/>
    <w:rsid w:val="001A366E"/>
    <w:rsid w:val="001A3936"/>
    <w:rsid w:val="001A3FEF"/>
    <w:rsid w:val="001A4A1A"/>
    <w:rsid w:val="001A5761"/>
    <w:rsid w:val="001A6755"/>
    <w:rsid w:val="001A6ACA"/>
    <w:rsid w:val="001A7351"/>
    <w:rsid w:val="001A786A"/>
    <w:rsid w:val="001A78A2"/>
    <w:rsid w:val="001B194B"/>
    <w:rsid w:val="001B1C71"/>
    <w:rsid w:val="001B2722"/>
    <w:rsid w:val="001B28EC"/>
    <w:rsid w:val="001B3BAD"/>
    <w:rsid w:val="001B4AC1"/>
    <w:rsid w:val="001B4E7B"/>
    <w:rsid w:val="001B5EE1"/>
    <w:rsid w:val="001B6183"/>
    <w:rsid w:val="001B6852"/>
    <w:rsid w:val="001B6F27"/>
    <w:rsid w:val="001B7267"/>
    <w:rsid w:val="001C0422"/>
    <w:rsid w:val="001C0698"/>
    <w:rsid w:val="001C1481"/>
    <w:rsid w:val="001C166F"/>
    <w:rsid w:val="001C17A9"/>
    <w:rsid w:val="001C1DFE"/>
    <w:rsid w:val="001C218C"/>
    <w:rsid w:val="001C2218"/>
    <w:rsid w:val="001C285B"/>
    <w:rsid w:val="001C3396"/>
    <w:rsid w:val="001C3622"/>
    <w:rsid w:val="001C386D"/>
    <w:rsid w:val="001C4712"/>
    <w:rsid w:val="001C4D9A"/>
    <w:rsid w:val="001C5885"/>
    <w:rsid w:val="001C5C8D"/>
    <w:rsid w:val="001C5F4C"/>
    <w:rsid w:val="001C6660"/>
    <w:rsid w:val="001C693C"/>
    <w:rsid w:val="001C6EC6"/>
    <w:rsid w:val="001C6FE3"/>
    <w:rsid w:val="001C7930"/>
    <w:rsid w:val="001D1597"/>
    <w:rsid w:val="001D1633"/>
    <w:rsid w:val="001D23EE"/>
    <w:rsid w:val="001D2C73"/>
    <w:rsid w:val="001D330A"/>
    <w:rsid w:val="001D3DA7"/>
    <w:rsid w:val="001D570E"/>
    <w:rsid w:val="001D7A8B"/>
    <w:rsid w:val="001E0478"/>
    <w:rsid w:val="001E0A0E"/>
    <w:rsid w:val="001E0D09"/>
    <w:rsid w:val="001E179C"/>
    <w:rsid w:val="001E1BBB"/>
    <w:rsid w:val="001E2333"/>
    <w:rsid w:val="001E261D"/>
    <w:rsid w:val="001E295D"/>
    <w:rsid w:val="001E3866"/>
    <w:rsid w:val="001E3E0C"/>
    <w:rsid w:val="001E467A"/>
    <w:rsid w:val="001E4704"/>
    <w:rsid w:val="001E51B5"/>
    <w:rsid w:val="001E54B5"/>
    <w:rsid w:val="001E56BC"/>
    <w:rsid w:val="001E5BDE"/>
    <w:rsid w:val="001F0481"/>
    <w:rsid w:val="001F0BCA"/>
    <w:rsid w:val="001F1069"/>
    <w:rsid w:val="001F2219"/>
    <w:rsid w:val="001F2B28"/>
    <w:rsid w:val="001F3D3E"/>
    <w:rsid w:val="001F488E"/>
    <w:rsid w:val="001F4AFB"/>
    <w:rsid w:val="001F4C11"/>
    <w:rsid w:val="001F4F8B"/>
    <w:rsid w:val="001F5875"/>
    <w:rsid w:val="001F5951"/>
    <w:rsid w:val="001F7108"/>
    <w:rsid w:val="001F71A4"/>
    <w:rsid w:val="001F7393"/>
    <w:rsid w:val="001F756D"/>
    <w:rsid w:val="001F7576"/>
    <w:rsid w:val="001F7FA1"/>
    <w:rsid w:val="00200140"/>
    <w:rsid w:val="0020044D"/>
    <w:rsid w:val="002004D2"/>
    <w:rsid w:val="00200551"/>
    <w:rsid w:val="00201E32"/>
    <w:rsid w:val="00202297"/>
    <w:rsid w:val="00202D35"/>
    <w:rsid w:val="00203F10"/>
    <w:rsid w:val="00204654"/>
    <w:rsid w:val="0020485A"/>
    <w:rsid w:val="00205863"/>
    <w:rsid w:val="00205E74"/>
    <w:rsid w:val="002068D7"/>
    <w:rsid w:val="00210F20"/>
    <w:rsid w:val="00211381"/>
    <w:rsid w:val="00212381"/>
    <w:rsid w:val="002129DE"/>
    <w:rsid w:val="00214016"/>
    <w:rsid w:val="00214B1B"/>
    <w:rsid w:val="00215519"/>
    <w:rsid w:val="0021580F"/>
    <w:rsid w:val="0021691E"/>
    <w:rsid w:val="00216A5E"/>
    <w:rsid w:val="002170DF"/>
    <w:rsid w:val="00221A78"/>
    <w:rsid w:val="00221B11"/>
    <w:rsid w:val="00222B78"/>
    <w:rsid w:val="00222E55"/>
    <w:rsid w:val="00223213"/>
    <w:rsid w:val="0022327A"/>
    <w:rsid w:val="00225198"/>
    <w:rsid w:val="00225E6A"/>
    <w:rsid w:val="002262DC"/>
    <w:rsid w:val="0022641A"/>
    <w:rsid w:val="00226842"/>
    <w:rsid w:val="00226E00"/>
    <w:rsid w:val="00227401"/>
    <w:rsid w:val="00227424"/>
    <w:rsid w:val="002303AF"/>
    <w:rsid w:val="0023082C"/>
    <w:rsid w:val="00231883"/>
    <w:rsid w:val="00231F61"/>
    <w:rsid w:val="002329D6"/>
    <w:rsid w:val="00233CEF"/>
    <w:rsid w:val="00234164"/>
    <w:rsid w:val="00234666"/>
    <w:rsid w:val="002346FE"/>
    <w:rsid w:val="00234E1A"/>
    <w:rsid w:val="00234F60"/>
    <w:rsid w:val="00235656"/>
    <w:rsid w:val="0023589C"/>
    <w:rsid w:val="00235F35"/>
    <w:rsid w:val="00236A56"/>
    <w:rsid w:val="00237190"/>
    <w:rsid w:val="002400C6"/>
    <w:rsid w:val="0024024E"/>
    <w:rsid w:val="002407AF"/>
    <w:rsid w:val="00240A9C"/>
    <w:rsid w:val="00241292"/>
    <w:rsid w:val="00242554"/>
    <w:rsid w:val="00242CA0"/>
    <w:rsid w:val="0024351C"/>
    <w:rsid w:val="00243EDB"/>
    <w:rsid w:val="0024465F"/>
    <w:rsid w:val="002447E3"/>
    <w:rsid w:val="00245078"/>
    <w:rsid w:val="00245343"/>
    <w:rsid w:val="00245BC6"/>
    <w:rsid w:val="00245DEF"/>
    <w:rsid w:val="00246095"/>
    <w:rsid w:val="002479EF"/>
    <w:rsid w:val="00250001"/>
    <w:rsid w:val="00250569"/>
    <w:rsid w:val="00251265"/>
    <w:rsid w:val="00251810"/>
    <w:rsid w:val="00251E53"/>
    <w:rsid w:val="00252386"/>
    <w:rsid w:val="00252BD9"/>
    <w:rsid w:val="0025301A"/>
    <w:rsid w:val="00253308"/>
    <w:rsid w:val="00253D6A"/>
    <w:rsid w:val="00254721"/>
    <w:rsid w:val="0025563B"/>
    <w:rsid w:val="00255D5C"/>
    <w:rsid w:val="00256541"/>
    <w:rsid w:val="0025714C"/>
    <w:rsid w:val="00260968"/>
    <w:rsid w:val="00260CE1"/>
    <w:rsid w:val="00262A18"/>
    <w:rsid w:val="002631E1"/>
    <w:rsid w:val="00263E9B"/>
    <w:rsid w:val="00264147"/>
    <w:rsid w:val="002642B2"/>
    <w:rsid w:val="00264853"/>
    <w:rsid w:val="00264BD2"/>
    <w:rsid w:val="00265CF1"/>
    <w:rsid w:val="0026611D"/>
    <w:rsid w:val="0026661F"/>
    <w:rsid w:val="00267304"/>
    <w:rsid w:val="002679F4"/>
    <w:rsid w:val="00267C5C"/>
    <w:rsid w:val="002707E7"/>
    <w:rsid w:val="00271E95"/>
    <w:rsid w:val="00271F5F"/>
    <w:rsid w:val="002726E5"/>
    <w:rsid w:val="0027325B"/>
    <w:rsid w:val="0027361E"/>
    <w:rsid w:val="002739CD"/>
    <w:rsid w:val="0027443C"/>
    <w:rsid w:val="0027475B"/>
    <w:rsid w:val="00274C92"/>
    <w:rsid w:val="002753E8"/>
    <w:rsid w:val="002754C1"/>
    <w:rsid w:val="002761DC"/>
    <w:rsid w:val="002809C7"/>
    <w:rsid w:val="00280E15"/>
    <w:rsid w:val="00281795"/>
    <w:rsid w:val="00281D2D"/>
    <w:rsid w:val="00281E4C"/>
    <w:rsid w:val="002825DD"/>
    <w:rsid w:val="00283D46"/>
    <w:rsid w:val="00284320"/>
    <w:rsid w:val="0028457E"/>
    <w:rsid w:val="002849AF"/>
    <w:rsid w:val="00284D7A"/>
    <w:rsid w:val="00285002"/>
    <w:rsid w:val="00286116"/>
    <w:rsid w:val="002904D1"/>
    <w:rsid w:val="00291733"/>
    <w:rsid w:val="0029245C"/>
    <w:rsid w:val="00292D85"/>
    <w:rsid w:val="00293050"/>
    <w:rsid w:val="002933D7"/>
    <w:rsid w:val="00293C1A"/>
    <w:rsid w:val="00294895"/>
    <w:rsid w:val="002961E0"/>
    <w:rsid w:val="002964CB"/>
    <w:rsid w:val="0029689C"/>
    <w:rsid w:val="0029718C"/>
    <w:rsid w:val="00297521"/>
    <w:rsid w:val="002975FF"/>
    <w:rsid w:val="00297856"/>
    <w:rsid w:val="002A1224"/>
    <w:rsid w:val="002A1992"/>
    <w:rsid w:val="002A1FAD"/>
    <w:rsid w:val="002A3E92"/>
    <w:rsid w:val="002A445E"/>
    <w:rsid w:val="002A4554"/>
    <w:rsid w:val="002A69E4"/>
    <w:rsid w:val="002A6C24"/>
    <w:rsid w:val="002A6CD9"/>
    <w:rsid w:val="002A7174"/>
    <w:rsid w:val="002A747D"/>
    <w:rsid w:val="002B1EAD"/>
    <w:rsid w:val="002B226D"/>
    <w:rsid w:val="002B2A05"/>
    <w:rsid w:val="002B2DAE"/>
    <w:rsid w:val="002B3505"/>
    <w:rsid w:val="002B3630"/>
    <w:rsid w:val="002B3D84"/>
    <w:rsid w:val="002B5AA9"/>
    <w:rsid w:val="002B6297"/>
    <w:rsid w:val="002B69BD"/>
    <w:rsid w:val="002B71CE"/>
    <w:rsid w:val="002B7D7B"/>
    <w:rsid w:val="002C2328"/>
    <w:rsid w:val="002C24CB"/>
    <w:rsid w:val="002C2B07"/>
    <w:rsid w:val="002C3148"/>
    <w:rsid w:val="002C36EF"/>
    <w:rsid w:val="002C3738"/>
    <w:rsid w:val="002C4FFD"/>
    <w:rsid w:val="002C5821"/>
    <w:rsid w:val="002D0974"/>
    <w:rsid w:val="002D268F"/>
    <w:rsid w:val="002D2807"/>
    <w:rsid w:val="002D2917"/>
    <w:rsid w:val="002D3570"/>
    <w:rsid w:val="002D3FB6"/>
    <w:rsid w:val="002D7254"/>
    <w:rsid w:val="002D7793"/>
    <w:rsid w:val="002E05AD"/>
    <w:rsid w:val="002E08A1"/>
    <w:rsid w:val="002E206C"/>
    <w:rsid w:val="002E2C59"/>
    <w:rsid w:val="002E3708"/>
    <w:rsid w:val="002E3E38"/>
    <w:rsid w:val="002E6895"/>
    <w:rsid w:val="002E6C3D"/>
    <w:rsid w:val="002E6DA2"/>
    <w:rsid w:val="002E702C"/>
    <w:rsid w:val="002F0922"/>
    <w:rsid w:val="002F0F28"/>
    <w:rsid w:val="002F2C9E"/>
    <w:rsid w:val="002F2CF5"/>
    <w:rsid w:val="002F32A7"/>
    <w:rsid w:val="002F3310"/>
    <w:rsid w:val="002F420C"/>
    <w:rsid w:val="002F4D68"/>
    <w:rsid w:val="002F4E04"/>
    <w:rsid w:val="002F516E"/>
    <w:rsid w:val="002F6527"/>
    <w:rsid w:val="002F7571"/>
    <w:rsid w:val="00300031"/>
    <w:rsid w:val="0030006F"/>
    <w:rsid w:val="003009D9"/>
    <w:rsid w:val="00301028"/>
    <w:rsid w:val="00301494"/>
    <w:rsid w:val="003027E6"/>
    <w:rsid w:val="00303388"/>
    <w:rsid w:val="00304411"/>
    <w:rsid w:val="00307787"/>
    <w:rsid w:val="00307E48"/>
    <w:rsid w:val="00310003"/>
    <w:rsid w:val="00311170"/>
    <w:rsid w:val="0031132E"/>
    <w:rsid w:val="00311354"/>
    <w:rsid w:val="0031179C"/>
    <w:rsid w:val="003118C6"/>
    <w:rsid w:val="00312CCD"/>
    <w:rsid w:val="003135F3"/>
    <w:rsid w:val="0031369E"/>
    <w:rsid w:val="00314C3E"/>
    <w:rsid w:val="00315429"/>
    <w:rsid w:val="00316262"/>
    <w:rsid w:val="003164F5"/>
    <w:rsid w:val="00316D4F"/>
    <w:rsid w:val="00317442"/>
    <w:rsid w:val="00317B53"/>
    <w:rsid w:val="00317BFF"/>
    <w:rsid w:val="00317ED9"/>
    <w:rsid w:val="003206F1"/>
    <w:rsid w:val="0032216D"/>
    <w:rsid w:val="0032228A"/>
    <w:rsid w:val="00323187"/>
    <w:rsid w:val="003240D5"/>
    <w:rsid w:val="003243BA"/>
    <w:rsid w:val="00324532"/>
    <w:rsid w:val="00325434"/>
    <w:rsid w:val="003256CE"/>
    <w:rsid w:val="00325A0D"/>
    <w:rsid w:val="003263CD"/>
    <w:rsid w:val="003267A4"/>
    <w:rsid w:val="0032729F"/>
    <w:rsid w:val="00327773"/>
    <w:rsid w:val="003277D9"/>
    <w:rsid w:val="00331C13"/>
    <w:rsid w:val="00331D95"/>
    <w:rsid w:val="003329FC"/>
    <w:rsid w:val="00333FE3"/>
    <w:rsid w:val="003342B8"/>
    <w:rsid w:val="00335E62"/>
    <w:rsid w:val="003360D4"/>
    <w:rsid w:val="00336321"/>
    <w:rsid w:val="0033675C"/>
    <w:rsid w:val="00336772"/>
    <w:rsid w:val="00336DDA"/>
    <w:rsid w:val="00341A00"/>
    <w:rsid w:val="00341E1D"/>
    <w:rsid w:val="003425BF"/>
    <w:rsid w:val="00343DCF"/>
    <w:rsid w:val="0034448C"/>
    <w:rsid w:val="00347DD3"/>
    <w:rsid w:val="00351118"/>
    <w:rsid w:val="0035166D"/>
    <w:rsid w:val="00352CCA"/>
    <w:rsid w:val="0035581B"/>
    <w:rsid w:val="00356A25"/>
    <w:rsid w:val="00357881"/>
    <w:rsid w:val="00357E1E"/>
    <w:rsid w:val="00360C1C"/>
    <w:rsid w:val="00362008"/>
    <w:rsid w:val="00362744"/>
    <w:rsid w:val="00362997"/>
    <w:rsid w:val="003630DA"/>
    <w:rsid w:val="00363695"/>
    <w:rsid w:val="00363756"/>
    <w:rsid w:val="003641A0"/>
    <w:rsid w:val="00364561"/>
    <w:rsid w:val="00364D42"/>
    <w:rsid w:val="00365DFC"/>
    <w:rsid w:val="00366117"/>
    <w:rsid w:val="003675F9"/>
    <w:rsid w:val="00370440"/>
    <w:rsid w:val="00370C65"/>
    <w:rsid w:val="00371733"/>
    <w:rsid w:val="00372472"/>
    <w:rsid w:val="003747E3"/>
    <w:rsid w:val="00375745"/>
    <w:rsid w:val="00376B8D"/>
    <w:rsid w:val="00380428"/>
    <w:rsid w:val="0038135C"/>
    <w:rsid w:val="00381942"/>
    <w:rsid w:val="0038209A"/>
    <w:rsid w:val="003830F4"/>
    <w:rsid w:val="00383136"/>
    <w:rsid w:val="0038396E"/>
    <w:rsid w:val="00383A05"/>
    <w:rsid w:val="00383CC1"/>
    <w:rsid w:val="00385FCB"/>
    <w:rsid w:val="0038698C"/>
    <w:rsid w:val="00386D8D"/>
    <w:rsid w:val="003876E8"/>
    <w:rsid w:val="003879E7"/>
    <w:rsid w:val="003904C9"/>
    <w:rsid w:val="00390852"/>
    <w:rsid w:val="00390A6F"/>
    <w:rsid w:val="0039147D"/>
    <w:rsid w:val="00391E6F"/>
    <w:rsid w:val="00392B93"/>
    <w:rsid w:val="0039382D"/>
    <w:rsid w:val="00394238"/>
    <w:rsid w:val="00394F99"/>
    <w:rsid w:val="003962ED"/>
    <w:rsid w:val="0039646E"/>
    <w:rsid w:val="00397617"/>
    <w:rsid w:val="003A0B20"/>
    <w:rsid w:val="003A0B39"/>
    <w:rsid w:val="003A1370"/>
    <w:rsid w:val="003A2DC1"/>
    <w:rsid w:val="003A3794"/>
    <w:rsid w:val="003A496C"/>
    <w:rsid w:val="003A5348"/>
    <w:rsid w:val="003A596D"/>
    <w:rsid w:val="003A5E32"/>
    <w:rsid w:val="003A615D"/>
    <w:rsid w:val="003A73B2"/>
    <w:rsid w:val="003A751B"/>
    <w:rsid w:val="003B02F3"/>
    <w:rsid w:val="003B24CB"/>
    <w:rsid w:val="003B2D0A"/>
    <w:rsid w:val="003B2F00"/>
    <w:rsid w:val="003B3566"/>
    <w:rsid w:val="003B3C65"/>
    <w:rsid w:val="003B533A"/>
    <w:rsid w:val="003B739B"/>
    <w:rsid w:val="003B79D0"/>
    <w:rsid w:val="003C0D3A"/>
    <w:rsid w:val="003C127C"/>
    <w:rsid w:val="003C1FE9"/>
    <w:rsid w:val="003C310D"/>
    <w:rsid w:val="003C3382"/>
    <w:rsid w:val="003C3772"/>
    <w:rsid w:val="003C3A1B"/>
    <w:rsid w:val="003C4AA9"/>
    <w:rsid w:val="003C5710"/>
    <w:rsid w:val="003C6651"/>
    <w:rsid w:val="003C6CEB"/>
    <w:rsid w:val="003C756E"/>
    <w:rsid w:val="003C7604"/>
    <w:rsid w:val="003D0149"/>
    <w:rsid w:val="003D0B7C"/>
    <w:rsid w:val="003D0CFE"/>
    <w:rsid w:val="003D129E"/>
    <w:rsid w:val="003D1A9E"/>
    <w:rsid w:val="003D1ADF"/>
    <w:rsid w:val="003D2200"/>
    <w:rsid w:val="003D4FB9"/>
    <w:rsid w:val="003D5144"/>
    <w:rsid w:val="003D5BFC"/>
    <w:rsid w:val="003D64E8"/>
    <w:rsid w:val="003D7BF2"/>
    <w:rsid w:val="003E054F"/>
    <w:rsid w:val="003E05F1"/>
    <w:rsid w:val="003E2D11"/>
    <w:rsid w:val="003E464E"/>
    <w:rsid w:val="003E52F3"/>
    <w:rsid w:val="003E5B86"/>
    <w:rsid w:val="003E6CAD"/>
    <w:rsid w:val="003E721A"/>
    <w:rsid w:val="003E7C15"/>
    <w:rsid w:val="003F1EC9"/>
    <w:rsid w:val="003F21FB"/>
    <w:rsid w:val="003F50F9"/>
    <w:rsid w:val="003F53CE"/>
    <w:rsid w:val="003F5E6C"/>
    <w:rsid w:val="003F657C"/>
    <w:rsid w:val="003F71C2"/>
    <w:rsid w:val="003F73D6"/>
    <w:rsid w:val="003F7B69"/>
    <w:rsid w:val="003F7BED"/>
    <w:rsid w:val="003F7F46"/>
    <w:rsid w:val="00400D82"/>
    <w:rsid w:val="004015FE"/>
    <w:rsid w:val="00401CAA"/>
    <w:rsid w:val="00403A61"/>
    <w:rsid w:val="00403DD4"/>
    <w:rsid w:val="004040BB"/>
    <w:rsid w:val="004040BE"/>
    <w:rsid w:val="0040460D"/>
    <w:rsid w:val="00406339"/>
    <w:rsid w:val="00406D77"/>
    <w:rsid w:val="0040778F"/>
    <w:rsid w:val="00407BF3"/>
    <w:rsid w:val="00410131"/>
    <w:rsid w:val="0041056C"/>
    <w:rsid w:val="004116A0"/>
    <w:rsid w:val="004133F3"/>
    <w:rsid w:val="00413CA7"/>
    <w:rsid w:val="0041437E"/>
    <w:rsid w:val="00414EF1"/>
    <w:rsid w:val="00415729"/>
    <w:rsid w:val="00417E90"/>
    <w:rsid w:val="004205EB"/>
    <w:rsid w:val="004212A1"/>
    <w:rsid w:val="00421348"/>
    <w:rsid w:val="00421EB4"/>
    <w:rsid w:val="004228B5"/>
    <w:rsid w:val="004229CC"/>
    <w:rsid w:val="00422B58"/>
    <w:rsid w:val="00424A92"/>
    <w:rsid w:val="00424C13"/>
    <w:rsid w:val="00424CDB"/>
    <w:rsid w:val="00424F2A"/>
    <w:rsid w:val="00425247"/>
    <w:rsid w:val="004259BC"/>
    <w:rsid w:val="00425AC9"/>
    <w:rsid w:val="0042611E"/>
    <w:rsid w:val="00430160"/>
    <w:rsid w:val="00430948"/>
    <w:rsid w:val="00430B68"/>
    <w:rsid w:val="00432888"/>
    <w:rsid w:val="00433EB5"/>
    <w:rsid w:val="00434999"/>
    <w:rsid w:val="004360C8"/>
    <w:rsid w:val="004365D3"/>
    <w:rsid w:val="00437F66"/>
    <w:rsid w:val="00440AC7"/>
    <w:rsid w:val="004412C4"/>
    <w:rsid w:val="00442851"/>
    <w:rsid w:val="00442982"/>
    <w:rsid w:val="00443DC6"/>
    <w:rsid w:val="00444711"/>
    <w:rsid w:val="00444BDE"/>
    <w:rsid w:val="00446888"/>
    <w:rsid w:val="00446A37"/>
    <w:rsid w:val="00450A16"/>
    <w:rsid w:val="00451DC1"/>
    <w:rsid w:val="004526CE"/>
    <w:rsid w:val="00452FAD"/>
    <w:rsid w:val="00453283"/>
    <w:rsid w:val="004537D8"/>
    <w:rsid w:val="0045420B"/>
    <w:rsid w:val="00454794"/>
    <w:rsid w:val="00454AE4"/>
    <w:rsid w:val="00454D43"/>
    <w:rsid w:val="004551C0"/>
    <w:rsid w:val="004554CA"/>
    <w:rsid w:val="00455B1D"/>
    <w:rsid w:val="00455CB2"/>
    <w:rsid w:val="00455ED2"/>
    <w:rsid w:val="00456748"/>
    <w:rsid w:val="00460505"/>
    <w:rsid w:val="00461C95"/>
    <w:rsid w:val="00461DFB"/>
    <w:rsid w:val="00465470"/>
    <w:rsid w:val="004658AD"/>
    <w:rsid w:val="00465F2E"/>
    <w:rsid w:val="004668E6"/>
    <w:rsid w:val="00470380"/>
    <w:rsid w:val="00470908"/>
    <w:rsid w:val="00471030"/>
    <w:rsid w:val="0047145B"/>
    <w:rsid w:val="00471A73"/>
    <w:rsid w:val="00472003"/>
    <w:rsid w:val="004722DB"/>
    <w:rsid w:val="004723DF"/>
    <w:rsid w:val="00473B4D"/>
    <w:rsid w:val="00473E8A"/>
    <w:rsid w:val="00475E87"/>
    <w:rsid w:val="00476170"/>
    <w:rsid w:val="0047688A"/>
    <w:rsid w:val="00477616"/>
    <w:rsid w:val="00480066"/>
    <w:rsid w:val="00480530"/>
    <w:rsid w:val="00480605"/>
    <w:rsid w:val="00480BDD"/>
    <w:rsid w:val="00480D2F"/>
    <w:rsid w:val="00481BE7"/>
    <w:rsid w:val="00482C2D"/>
    <w:rsid w:val="0048334F"/>
    <w:rsid w:val="0048419A"/>
    <w:rsid w:val="004850D1"/>
    <w:rsid w:val="00485B17"/>
    <w:rsid w:val="00485BB4"/>
    <w:rsid w:val="00486FE0"/>
    <w:rsid w:val="004871C4"/>
    <w:rsid w:val="00487B62"/>
    <w:rsid w:val="00490249"/>
    <w:rsid w:val="00492795"/>
    <w:rsid w:val="00492B41"/>
    <w:rsid w:val="00494425"/>
    <w:rsid w:val="00494552"/>
    <w:rsid w:val="00495BCB"/>
    <w:rsid w:val="00496702"/>
    <w:rsid w:val="00496ABD"/>
    <w:rsid w:val="00496E02"/>
    <w:rsid w:val="0049705F"/>
    <w:rsid w:val="00497727"/>
    <w:rsid w:val="004A0BA5"/>
    <w:rsid w:val="004A17B7"/>
    <w:rsid w:val="004A336D"/>
    <w:rsid w:val="004A36FE"/>
    <w:rsid w:val="004A43E5"/>
    <w:rsid w:val="004A5874"/>
    <w:rsid w:val="004A5EF0"/>
    <w:rsid w:val="004A637E"/>
    <w:rsid w:val="004A664F"/>
    <w:rsid w:val="004A6A85"/>
    <w:rsid w:val="004A6ECB"/>
    <w:rsid w:val="004A715F"/>
    <w:rsid w:val="004B0CAE"/>
    <w:rsid w:val="004B1082"/>
    <w:rsid w:val="004B2C43"/>
    <w:rsid w:val="004B2F9B"/>
    <w:rsid w:val="004B3619"/>
    <w:rsid w:val="004B36AB"/>
    <w:rsid w:val="004B42E4"/>
    <w:rsid w:val="004B4791"/>
    <w:rsid w:val="004B4813"/>
    <w:rsid w:val="004B66FF"/>
    <w:rsid w:val="004B6FB5"/>
    <w:rsid w:val="004B73C6"/>
    <w:rsid w:val="004B75CE"/>
    <w:rsid w:val="004B7751"/>
    <w:rsid w:val="004C04F2"/>
    <w:rsid w:val="004C0614"/>
    <w:rsid w:val="004C095B"/>
    <w:rsid w:val="004C0CDD"/>
    <w:rsid w:val="004C101A"/>
    <w:rsid w:val="004C12E4"/>
    <w:rsid w:val="004C379E"/>
    <w:rsid w:val="004C3F7A"/>
    <w:rsid w:val="004C5482"/>
    <w:rsid w:val="004C5FBD"/>
    <w:rsid w:val="004C7344"/>
    <w:rsid w:val="004D04E4"/>
    <w:rsid w:val="004D08FC"/>
    <w:rsid w:val="004D092C"/>
    <w:rsid w:val="004D14E7"/>
    <w:rsid w:val="004D2340"/>
    <w:rsid w:val="004D3AAC"/>
    <w:rsid w:val="004D447A"/>
    <w:rsid w:val="004D4A67"/>
    <w:rsid w:val="004D5E82"/>
    <w:rsid w:val="004D60F4"/>
    <w:rsid w:val="004D6242"/>
    <w:rsid w:val="004D6407"/>
    <w:rsid w:val="004E01B4"/>
    <w:rsid w:val="004E029A"/>
    <w:rsid w:val="004E0C85"/>
    <w:rsid w:val="004E0D40"/>
    <w:rsid w:val="004E1C28"/>
    <w:rsid w:val="004E1C31"/>
    <w:rsid w:val="004E2A04"/>
    <w:rsid w:val="004E2AAF"/>
    <w:rsid w:val="004E306D"/>
    <w:rsid w:val="004E325A"/>
    <w:rsid w:val="004E36CE"/>
    <w:rsid w:val="004E3F41"/>
    <w:rsid w:val="004E607C"/>
    <w:rsid w:val="004E61BC"/>
    <w:rsid w:val="004E61EF"/>
    <w:rsid w:val="004E7084"/>
    <w:rsid w:val="004E75EA"/>
    <w:rsid w:val="004E7AA8"/>
    <w:rsid w:val="004E7B1B"/>
    <w:rsid w:val="004F0B4E"/>
    <w:rsid w:val="004F1704"/>
    <w:rsid w:val="004F17FC"/>
    <w:rsid w:val="004F3F0F"/>
    <w:rsid w:val="004F44A6"/>
    <w:rsid w:val="004F5C88"/>
    <w:rsid w:val="004F5E98"/>
    <w:rsid w:val="004F61A5"/>
    <w:rsid w:val="004F771E"/>
    <w:rsid w:val="004F7F89"/>
    <w:rsid w:val="005023B9"/>
    <w:rsid w:val="00502624"/>
    <w:rsid w:val="00502921"/>
    <w:rsid w:val="00502F08"/>
    <w:rsid w:val="00503E3A"/>
    <w:rsid w:val="00504167"/>
    <w:rsid w:val="00504ADB"/>
    <w:rsid w:val="00505E67"/>
    <w:rsid w:val="00506142"/>
    <w:rsid w:val="005066C1"/>
    <w:rsid w:val="005101AA"/>
    <w:rsid w:val="00512474"/>
    <w:rsid w:val="00513073"/>
    <w:rsid w:val="00513FB7"/>
    <w:rsid w:val="00514162"/>
    <w:rsid w:val="00514507"/>
    <w:rsid w:val="00514EDF"/>
    <w:rsid w:val="0051657E"/>
    <w:rsid w:val="00520A3C"/>
    <w:rsid w:val="00521CB1"/>
    <w:rsid w:val="00521EA9"/>
    <w:rsid w:val="00522860"/>
    <w:rsid w:val="00522B71"/>
    <w:rsid w:val="0052334C"/>
    <w:rsid w:val="0052364B"/>
    <w:rsid w:val="00524253"/>
    <w:rsid w:val="00524A84"/>
    <w:rsid w:val="00525325"/>
    <w:rsid w:val="0052595E"/>
    <w:rsid w:val="00526615"/>
    <w:rsid w:val="00527C19"/>
    <w:rsid w:val="00527C3A"/>
    <w:rsid w:val="005323CC"/>
    <w:rsid w:val="00532835"/>
    <w:rsid w:val="00533134"/>
    <w:rsid w:val="0053317A"/>
    <w:rsid w:val="00534223"/>
    <w:rsid w:val="005345C6"/>
    <w:rsid w:val="00535957"/>
    <w:rsid w:val="0053715D"/>
    <w:rsid w:val="00540FE7"/>
    <w:rsid w:val="005414D8"/>
    <w:rsid w:val="00541FDA"/>
    <w:rsid w:val="00542AEB"/>
    <w:rsid w:val="00543F40"/>
    <w:rsid w:val="00544169"/>
    <w:rsid w:val="00544D4F"/>
    <w:rsid w:val="00545DD8"/>
    <w:rsid w:val="005463EC"/>
    <w:rsid w:val="00546B7E"/>
    <w:rsid w:val="0054713E"/>
    <w:rsid w:val="00547C0F"/>
    <w:rsid w:val="00547D09"/>
    <w:rsid w:val="00550306"/>
    <w:rsid w:val="00550562"/>
    <w:rsid w:val="005519A2"/>
    <w:rsid w:val="00551ED0"/>
    <w:rsid w:val="005522B8"/>
    <w:rsid w:val="00553096"/>
    <w:rsid w:val="0055567A"/>
    <w:rsid w:val="00555A81"/>
    <w:rsid w:val="00556BCE"/>
    <w:rsid w:val="005611C6"/>
    <w:rsid w:val="005617C0"/>
    <w:rsid w:val="00561E2F"/>
    <w:rsid w:val="00562187"/>
    <w:rsid w:val="005622A1"/>
    <w:rsid w:val="00563593"/>
    <w:rsid w:val="00563F66"/>
    <w:rsid w:val="00564538"/>
    <w:rsid w:val="0056480E"/>
    <w:rsid w:val="00564BE1"/>
    <w:rsid w:val="005676BA"/>
    <w:rsid w:val="0056789A"/>
    <w:rsid w:val="005678B9"/>
    <w:rsid w:val="005703A7"/>
    <w:rsid w:val="00570869"/>
    <w:rsid w:val="005710C3"/>
    <w:rsid w:val="00571E4C"/>
    <w:rsid w:val="00572153"/>
    <w:rsid w:val="0057455B"/>
    <w:rsid w:val="00575801"/>
    <w:rsid w:val="005759A9"/>
    <w:rsid w:val="00575D10"/>
    <w:rsid w:val="00575D13"/>
    <w:rsid w:val="005760C5"/>
    <w:rsid w:val="00576D56"/>
    <w:rsid w:val="00577451"/>
    <w:rsid w:val="00577CA8"/>
    <w:rsid w:val="005806AC"/>
    <w:rsid w:val="00580954"/>
    <w:rsid w:val="005813D7"/>
    <w:rsid w:val="00581498"/>
    <w:rsid w:val="0058202C"/>
    <w:rsid w:val="0058264B"/>
    <w:rsid w:val="00582A7A"/>
    <w:rsid w:val="00582D2D"/>
    <w:rsid w:val="00582FE4"/>
    <w:rsid w:val="005830CB"/>
    <w:rsid w:val="0058354B"/>
    <w:rsid w:val="00583722"/>
    <w:rsid w:val="00584394"/>
    <w:rsid w:val="00584AC7"/>
    <w:rsid w:val="005852D0"/>
    <w:rsid w:val="005855EB"/>
    <w:rsid w:val="00587FE9"/>
    <w:rsid w:val="0059069C"/>
    <w:rsid w:val="00590916"/>
    <w:rsid w:val="005912E5"/>
    <w:rsid w:val="00591302"/>
    <w:rsid w:val="00591E35"/>
    <w:rsid w:val="0059345B"/>
    <w:rsid w:val="005935F6"/>
    <w:rsid w:val="00594A26"/>
    <w:rsid w:val="00595481"/>
    <w:rsid w:val="00595EC8"/>
    <w:rsid w:val="0059725C"/>
    <w:rsid w:val="0059731E"/>
    <w:rsid w:val="00597380"/>
    <w:rsid w:val="005975A7"/>
    <w:rsid w:val="005A06AD"/>
    <w:rsid w:val="005A1F87"/>
    <w:rsid w:val="005A3F34"/>
    <w:rsid w:val="005A4E38"/>
    <w:rsid w:val="005A59B3"/>
    <w:rsid w:val="005A6C7B"/>
    <w:rsid w:val="005A739E"/>
    <w:rsid w:val="005B007E"/>
    <w:rsid w:val="005B290A"/>
    <w:rsid w:val="005B2A71"/>
    <w:rsid w:val="005B2D0E"/>
    <w:rsid w:val="005B3C75"/>
    <w:rsid w:val="005B4861"/>
    <w:rsid w:val="005B4ADD"/>
    <w:rsid w:val="005B4BB8"/>
    <w:rsid w:val="005B4E9A"/>
    <w:rsid w:val="005B4EFA"/>
    <w:rsid w:val="005B7D13"/>
    <w:rsid w:val="005C0490"/>
    <w:rsid w:val="005C16EE"/>
    <w:rsid w:val="005C1C91"/>
    <w:rsid w:val="005C20A6"/>
    <w:rsid w:val="005C2946"/>
    <w:rsid w:val="005C3153"/>
    <w:rsid w:val="005C367E"/>
    <w:rsid w:val="005C399E"/>
    <w:rsid w:val="005C3C10"/>
    <w:rsid w:val="005C3E35"/>
    <w:rsid w:val="005C467A"/>
    <w:rsid w:val="005C4B43"/>
    <w:rsid w:val="005C5DAE"/>
    <w:rsid w:val="005C60F7"/>
    <w:rsid w:val="005C66F6"/>
    <w:rsid w:val="005C69FC"/>
    <w:rsid w:val="005D1300"/>
    <w:rsid w:val="005D23BC"/>
    <w:rsid w:val="005D28BA"/>
    <w:rsid w:val="005D5873"/>
    <w:rsid w:val="005D678C"/>
    <w:rsid w:val="005D6FFD"/>
    <w:rsid w:val="005D70BE"/>
    <w:rsid w:val="005D7493"/>
    <w:rsid w:val="005D76C4"/>
    <w:rsid w:val="005D7DAE"/>
    <w:rsid w:val="005E04CB"/>
    <w:rsid w:val="005E082D"/>
    <w:rsid w:val="005E0E10"/>
    <w:rsid w:val="005E2AFD"/>
    <w:rsid w:val="005E432E"/>
    <w:rsid w:val="005E4C38"/>
    <w:rsid w:val="005E54C2"/>
    <w:rsid w:val="005E62C7"/>
    <w:rsid w:val="005E6488"/>
    <w:rsid w:val="005E64A6"/>
    <w:rsid w:val="005E696C"/>
    <w:rsid w:val="005E6B21"/>
    <w:rsid w:val="005E6E1F"/>
    <w:rsid w:val="005E7122"/>
    <w:rsid w:val="005E7361"/>
    <w:rsid w:val="005E7DB0"/>
    <w:rsid w:val="005F0712"/>
    <w:rsid w:val="005F0DD1"/>
    <w:rsid w:val="005F210E"/>
    <w:rsid w:val="005F37CF"/>
    <w:rsid w:val="005F40BD"/>
    <w:rsid w:val="005F40DB"/>
    <w:rsid w:val="005F4495"/>
    <w:rsid w:val="005F4BE1"/>
    <w:rsid w:val="005F4D32"/>
    <w:rsid w:val="005F5E47"/>
    <w:rsid w:val="005F5F65"/>
    <w:rsid w:val="005F67AD"/>
    <w:rsid w:val="005F6FE4"/>
    <w:rsid w:val="005F7E1D"/>
    <w:rsid w:val="00600E66"/>
    <w:rsid w:val="006011C1"/>
    <w:rsid w:val="00601B28"/>
    <w:rsid w:val="00602E7E"/>
    <w:rsid w:val="006030EE"/>
    <w:rsid w:val="0060381D"/>
    <w:rsid w:val="00604AD8"/>
    <w:rsid w:val="00604FE6"/>
    <w:rsid w:val="00607B05"/>
    <w:rsid w:val="00607C28"/>
    <w:rsid w:val="00612419"/>
    <w:rsid w:val="00612A06"/>
    <w:rsid w:val="00612AE7"/>
    <w:rsid w:val="00612B63"/>
    <w:rsid w:val="00612EC2"/>
    <w:rsid w:val="0061440A"/>
    <w:rsid w:val="00614E2F"/>
    <w:rsid w:val="00615239"/>
    <w:rsid w:val="0061579B"/>
    <w:rsid w:val="00615F94"/>
    <w:rsid w:val="0061660C"/>
    <w:rsid w:val="00616C1F"/>
    <w:rsid w:val="00617237"/>
    <w:rsid w:val="006202DE"/>
    <w:rsid w:val="00620425"/>
    <w:rsid w:val="00620584"/>
    <w:rsid w:val="00620820"/>
    <w:rsid w:val="006217DE"/>
    <w:rsid w:val="00621D3A"/>
    <w:rsid w:val="00621F91"/>
    <w:rsid w:val="00622A66"/>
    <w:rsid w:val="0062374B"/>
    <w:rsid w:val="006243A8"/>
    <w:rsid w:val="0062457E"/>
    <w:rsid w:val="00624E7F"/>
    <w:rsid w:val="00625481"/>
    <w:rsid w:val="00625D1A"/>
    <w:rsid w:val="0062624A"/>
    <w:rsid w:val="00626C06"/>
    <w:rsid w:val="00627226"/>
    <w:rsid w:val="0063055C"/>
    <w:rsid w:val="006306CB"/>
    <w:rsid w:val="00630782"/>
    <w:rsid w:val="00630E81"/>
    <w:rsid w:val="0063105D"/>
    <w:rsid w:val="006323E6"/>
    <w:rsid w:val="00632565"/>
    <w:rsid w:val="00633472"/>
    <w:rsid w:val="00634035"/>
    <w:rsid w:val="0063404C"/>
    <w:rsid w:val="00634488"/>
    <w:rsid w:val="0063451B"/>
    <w:rsid w:val="0063563A"/>
    <w:rsid w:val="00635C21"/>
    <w:rsid w:val="00635C71"/>
    <w:rsid w:val="00635E7B"/>
    <w:rsid w:val="00635ED9"/>
    <w:rsid w:val="00636737"/>
    <w:rsid w:val="00640448"/>
    <w:rsid w:val="006413E2"/>
    <w:rsid w:val="006416CC"/>
    <w:rsid w:val="00642C1E"/>
    <w:rsid w:val="00642D92"/>
    <w:rsid w:val="00643011"/>
    <w:rsid w:val="006435FD"/>
    <w:rsid w:val="00643775"/>
    <w:rsid w:val="00643A45"/>
    <w:rsid w:val="00643F10"/>
    <w:rsid w:val="00644DBD"/>
    <w:rsid w:val="006450DE"/>
    <w:rsid w:val="0064552B"/>
    <w:rsid w:val="006457AA"/>
    <w:rsid w:val="00645D5A"/>
    <w:rsid w:val="00646B6E"/>
    <w:rsid w:val="00646D31"/>
    <w:rsid w:val="00647EDD"/>
    <w:rsid w:val="00651477"/>
    <w:rsid w:val="006536DB"/>
    <w:rsid w:val="0065378B"/>
    <w:rsid w:val="00653A02"/>
    <w:rsid w:val="00654043"/>
    <w:rsid w:val="006547B8"/>
    <w:rsid w:val="00655032"/>
    <w:rsid w:val="006554B2"/>
    <w:rsid w:val="00655B0E"/>
    <w:rsid w:val="00655D86"/>
    <w:rsid w:val="00656124"/>
    <w:rsid w:val="00656ECF"/>
    <w:rsid w:val="006573AE"/>
    <w:rsid w:val="006576B3"/>
    <w:rsid w:val="00657CA4"/>
    <w:rsid w:val="00660C13"/>
    <w:rsid w:val="00661680"/>
    <w:rsid w:val="006622B3"/>
    <w:rsid w:val="00662481"/>
    <w:rsid w:val="00663009"/>
    <w:rsid w:val="00664007"/>
    <w:rsid w:val="006656FA"/>
    <w:rsid w:val="0066572A"/>
    <w:rsid w:val="00665AF6"/>
    <w:rsid w:val="00665AFB"/>
    <w:rsid w:val="006666A8"/>
    <w:rsid w:val="00666B25"/>
    <w:rsid w:val="00667E5A"/>
    <w:rsid w:val="006718CF"/>
    <w:rsid w:val="00673146"/>
    <w:rsid w:val="006736B3"/>
    <w:rsid w:val="00673FEA"/>
    <w:rsid w:val="00674BD5"/>
    <w:rsid w:val="0067519C"/>
    <w:rsid w:val="006769DB"/>
    <w:rsid w:val="00676C52"/>
    <w:rsid w:val="0067767A"/>
    <w:rsid w:val="006808B4"/>
    <w:rsid w:val="00681ED8"/>
    <w:rsid w:val="00682834"/>
    <w:rsid w:val="00682E4D"/>
    <w:rsid w:val="006832E2"/>
    <w:rsid w:val="00683428"/>
    <w:rsid w:val="006836F2"/>
    <w:rsid w:val="00683BE3"/>
    <w:rsid w:val="00683C8E"/>
    <w:rsid w:val="0068490D"/>
    <w:rsid w:val="00684963"/>
    <w:rsid w:val="00684C14"/>
    <w:rsid w:val="00684F4A"/>
    <w:rsid w:val="0068545B"/>
    <w:rsid w:val="006865D3"/>
    <w:rsid w:val="00686A81"/>
    <w:rsid w:val="0069039D"/>
    <w:rsid w:val="006909C9"/>
    <w:rsid w:val="006917B7"/>
    <w:rsid w:val="00691E1F"/>
    <w:rsid w:val="0069260D"/>
    <w:rsid w:val="00693A99"/>
    <w:rsid w:val="00693B2D"/>
    <w:rsid w:val="006955CE"/>
    <w:rsid w:val="006965C1"/>
    <w:rsid w:val="00696F8E"/>
    <w:rsid w:val="0069715E"/>
    <w:rsid w:val="006971EC"/>
    <w:rsid w:val="00697565"/>
    <w:rsid w:val="006A078D"/>
    <w:rsid w:val="006A0D52"/>
    <w:rsid w:val="006A0FB4"/>
    <w:rsid w:val="006A3104"/>
    <w:rsid w:val="006A4359"/>
    <w:rsid w:val="006A50B8"/>
    <w:rsid w:val="006A77FB"/>
    <w:rsid w:val="006A7C26"/>
    <w:rsid w:val="006B01B2"/>
    <w:rsid w:val="006B020F"/>
    <w:rsid w:val="006B032A"/>
    <w:rsid w:val="006B0445"/>
    <w:rsid w:val="006B0A17"/>
    <w:rsid w:val="006B170A"/>
    <w:rsid w:val="006B178F"/>
    <w:rsid w:val="006B32C0"/>
    <w:rsid w:val="006B3841"/>
    <w:rsid w:val="006B39EE"/>
    <w:rsid w:val="006B3BFE"/>
    <w:rsid w:val="006B41D2"/>
    <w:rsid w:val="006B66A4"/>
    <w:rsid w:val="006B68F2"/>
    <w:rsid w:val="006B6B60"/>
    <w:rsid w:val="006B7182"/>
    <w:rsid w:val="006B7945"/>
    <w:rsid w:val="006B7EE0"/>
    <w:rsid w:val="006C0733"/>
    <w:rsid w:val="006C08B3"/>
    <w:rsid w:val="006C0D2B"/>
    <w:rsid w:val="006C3715"/>
    <w:rsid w:val="006C3DE9"/>
    <w:rsid w:val="006C4FC7"/>
    <w:rsid w:val="006C4FE0"/>
    <w:rsid w:val="006C7130"/>
    <w:rsid w:val="006C7B30"/>
    <w:rsid w:val="006D13E2"/>
    <w:rsid w:val="006D1D9C"/>
    <w:rsid w:val="006D3639"/>
    <w:rsid w:val="006D43F0"/>
    <w:rsid w:val="006D5B05"/>
    <w:rsid w:val="006D6494"/>
    <w:rsid w:val="006D69EC"/>
    <w:rsid w:val="006D75EF"/>
    <w:rsid w:val="006D7B6F"/>
    <w:rsid w:val="006E0236"/>
    <w:rsid w:val="006E06C6"/>
    <w:rsid w:val="006E1155"/>
    <w:rsid w:val="006E2010"/>
    <w:rsid w:val="006E2109"/>
    <w:rsid w:val="006E3D96"/>
    <w:rsid w:val="006E425E"/>
    <w:rsid w:val="006E4486"/>
    <w:rsid w:val="006E4500"/>
    <w:rsid w:val="006E46FE"/>
    <w:rsid w:val="006E5317"/>
    <w:rsid w:val="006E5464"/>
    <w:rsid w:val="006E6017"/>
    <w:rsid w:val="006E612A"/>
    <w:rsid w:val="006E6D82"/>
    <w:rsid w:val="006F0137"/>
    <w:rsid w:val="006F0708"/>
    <w:rsid w:val="006F0F3E"/>
    <w:rsid w:val="006F1744"/>
    <w:rsid w:val="006F1E3B"/>
    <w:rsid w:val="006F38A7"/>
    <w:rsid w:val="006F3972"/>
    <w:rsid w:val="006F46AB"/>
    <w:rsid w:val="006F4D0A"/>
    <w:rsid w:val="006F4DAA"/>
    <w:rsid w:val="006F5168"/>
    <w:rsid w:val="006F51D9"/>
    <w:rsid w:val="006F54A1"/>
    <w:rsid w:val="006F714C"/>
    <w:rsid w:val="006F7BC7"/>
    <w:rsid w:val="00700621"/>
    <w:rsid w:val="007006D0"/>
    <w:rsid w:val="00700D35"/>
    <w:rsid w:val="007012F0"/>
    <w:rsid w:val="00701FE4"/>
    <w:rsid w:val="00702F62"/>
    <w:rsid w:val="007058AE"/>
    <w:rsid w:val="007059CA"/>
    <w:rsid w:val="007062CC"/>
    <w:rsid w:val="00706C1B"/>
    <w:rsid w:val="00710627"/>
    <w:rsid w:val="00710AA6"/>
    <w:rsid w:val="0071185D"/>
    <w:rsid w:val="00712BA7"/>
    <w:rsid w:val="0071413B"/>
    <w:rsid w:val="00714BDB"/>
    <w:rsid w:val="0072172E"/>
    <w:rsid w:val="00721D76"/>
    <w:rsid w:val="00721DE0"/>
    <w:rsid w:val="0072443B"/>
    <w:rsid w:val="00725C7A"/>
    <w:rsid w:val="00725E2F"/>
    <w:rsid w:val="007260F0"/>
    <w:rsid w:val="00726372"/>
    <w:rsid w:val="00727419"/>
    <w:rsid w:val="0072796E"/>
    <w:rsid w:val="00730A7F"/>
    <w:rsid w:val="00730D08"/>
    <w:rsid w:val="0073106B"/>
    <w:rsid w:val="00733227"/>
    <w:rsid w:val="00733C23"/>
    <w:rsid w:val="00736A8C"/>
    <w:rsid w:val="00736EFF"/>
    <w:rsid w:val="00737950"/>
    <w:rsid w:val="00737CAA"/>
    <w:rsid w:val="00737E1B"/>
    <w:rsid w:val="007400FF"/>
    <w:rsid w:val="0074015C"/>
    <w:rsid w:val="00740C90"/>
    <w:rsid w:val="00741B4F"/>
    <w:rsid w:val="007423FF"/>
    <w:rsid w:val="0074318B"/>
    <w:rsid w:val="00743F07"/>
    <w:rsid w:val="00744193"/>
    <w:rsid w:val="0074434E"/>
    <w:rsid w:val="00745C2E"/>
    <w:rsid w:val="00746722"/>
    <w:rsid w:val="00746C01"/>
    <w:rsid w:val="00747129"/>
    <w:rsid w:val="00747225"/>
    <w:rsid w:val="00747453"/>
    <w:rsid w:val="00747C31"/>
    <w:rsid w:val="00747DBB"/>
    <w:rsid w:val="00747DCC"/>
    <w:rsid w:val="00750028"/>
    <w:rsid w:val="00750991"/>
    <w:rsid w:val="00750B7D"/>
    <w:rsid w:val="007512CB"/>
    <w:rsid w:val="00752428"/>
    <w:rsid w:val="007526F8"/>
    <w:rsid w:val="007529D6"/>
    <w:rsid w:val="00753C86"/>
    <w:rsid w:val="00753EC6"/>
    <w:rsid w:val="00754430"/>
    <w:rsid w:val="0075552E"/>
    <w:rsid w:val="00755541"/>
    <w:rsid w:val="007560CE"/>
    <w:rsid w:val="007568F1"/>
    <w:rsid w:val="0075707D"/>
    <w:rsid w:val="00757888"/>
    <w:rsid w:val="00757DE9"/>
    <w:rsid w:val="007603ED"/>
    <w:rsid w:val="00760912"/>
    <w:rsid w:val="00760C97"/>
    <w:rsid w:val="00760E1F"/>
    <w:rsid w:val="00760F4A"/>
    <w:rsid w:val="0076153F"/>
    <w:rsid w:val="00761633"/>
    <w:rsid w:val="00761837"/>
    <w:rsid w:val="00761E4C"/>
    <w:rsid w:val="00764A5C"/>
    <w:rsid w:val="00765D4A"/>
    <w:rsid w:val="00767D0C"/>
    <w:rsid w:val="00770D4B"/>
    <w:rsid w:val="007713AD"/>
    <w:rsid w:val="00771421"/>
    <w:rsid w:val="00772CDD"/>
    <w:rsid w:val="00772FE7"/>
    <w:rsid w:val="0077334A"/>
    <w:rsid w:val="00773818"/>
    <w:rsid w:val="00774C4D"/>
    <w:rsid w:val="00774C7C"/>
    <w:rsid w:val="00775807"/>
    <w:rsid w:val="007759D7"/>
    <w:rsid w:val="00776746"/>
    <w:rsid w:val="00776A07"/>
    <w:rsid w:val="00777F57"/>
    <w:rsid w:val="00780C07"/>
    <w:rsid w:val="007823D8"/>
    <w:rsid w:val="007834CE"/>
    <w:rsid w:val="00783662"/>
    <w:rsid w:val="007837D1"/>
    <w:rsid w:val="00783EAB"/>
    <w:rsid w:val="0078448A"/>
    <w:rsid w:val="007848E0"/>
    <w:rsid w:val="00784AA6"/>
    <w:rsid w:val="00785DA6"/>
    <w:rsid w:val="00786592"/>
    <w:rsid w:val="00786BF8"/>
    <w:rsid w:val="00791800"/>
    <w:rsid w:val="00791D67"/>
    <w:rsid w:val="0079304C"/>
    <w:rsid w:val="0079317B"/>
    <w:rsid w:val="0079544F"/>
    <w:rsid w:val="00795456"/>
    <w:rsid w:val="007959CA"/>
    <w:rsid w:val="00795A6B"/>
    <w:rsid w:val="00795EED"/>
    <w:rsid w:val="00795F6C"/>
    <w:rsid w:val="00796209"/>
    <w:rsid w:val="00796690"/>
    <w:rsid w:val="00796F0E"/>
    <w:rsid w:val="007973AD"/>
    <w:rsid w:val="007A02BB"/>
    <w:rsid w:val="007A09FF"/>
    <w:rsid w:val="007A0A6A"/>
    <w:rsid w:val="007A0CBA"/>
    <w:rsid w:val="007A0DFB"/>
    <w:rsid w:val="007A0FA6"/>
    <w:rsid w:val="007A1488"/>
    <w:rsid w:val="007A14C0"/>
    <w:rsid w:val="007A2F62"/>
    <w:rsid w:val="007A30DC"/>
    <w:rsid w:val="007A4E7B"/>
    <w:rsid w:val="007A60B0"/>
    <w:rsid w:val="007A63C9"/>
    <w:rsid w:val="007A77CA"/>
    <w:rsid w:val="007B0640"/>
    <w:rsid w:val="007B1063"/>
    <w:rsid w:val="007B14C2"/>
    <w:rsid w:val="007B1A0F"/>
    <w:rsid w:val="007B1BB3"/>
    <w:rsid w:val="007B1D4A"/>
    <w:rsid w:val="007B24BD"/>
    <w:rsid w:val="007B52A5"/>
    <w:rsid w:val="007B52F2"/>
    <w:rsid w:val="007B537A"/>
    <w:rsid w:val="007B5C5D"/>
    <w:rsid w:val="007B5D19"/>
    <w:rsid w:val="007B5DA3"/>
    <w:rsid w:val="007B6579"/>
    <w:rsid w:val="007C04E8"/>
    <w:rsid w:val="007C115C"/>
    <w:rsid w:val="007C283A"/>
    <w:rsid w:val="007C29BD"/>
    <w:rsid w:val="007C52D8"/>
    <w:rsid w:val="007C5B9A"/>
    <w:rsid w:val="007C61C4"/>
    <w:rsid w:val="007C746F"/>
    <w:rsid w:val="007C76A0"/>
    <w:rsid w:val="007D0440"/>
    <w:rsid w:val="007D0D11"/>
    <w:rsid w:val="007D11A9"/>
    <w:rsid w:val="007D185E"/>
    <w:rsid w:val="007D1B0A"/>
    <w:rsid w:val="007D1BB2"/>
    <w:rsid w:val="007D1D18"/>
    <w:rsid w:val="007D1DD2"/>
    <w:rsid w:val="007D2258"/>
    <w:rsid w:val="007D2C27"/>
    <w:rsid w:val="007D3273"/>
    <w:rsid w:val="007D523A"/>
    <w:rsid w:val="007D5333"/>
    <w:rsid w:val="007D5738"/>
    <w:rsid w:val="007D7620"/>
    <w:rsid w:val="007D7736"/>
    <w:rsid w:val="007E117B"/>
    <w:rsid w:val="007E16AD"/>
    <w:rsid w:val="007E1808"/>
    <w:rsid w:val="007E1DBA"/>
    <w:rsid w:val="007E1F52"/>
    <w:rsid w:val="007E2BB2"/>
    <w:rsid w:val="007E2E75"/>
    <w:rsid w:val="007E416D"/>
    <w:rsid w:val="007E430A"/>
    <w:rsid w:val="007E43E6"/>
    <w:rsid w:val="007E5AC5"/>
    <w:rsid w:val="007E62C8"/>
    <w:rsid w:val="007E6C5E"/>
    <w:rsid w:val="007E6FE0"/>
    <w:rsid w:val="007E78AB"/>
    <w:rsid w:val="007E7925"/>
    <w:rsid w:val="007E799F"/>
    <w:rsid w:val="007E7A83"/>
    <w:rsid w:val="007E7F07"/>
    <w:rsid w:val="007F0DC1"/>
    <w:rsid w:val="007F0E09"/>
    <w:rsid w:val="007F18F8"/>
    <w:rsid w:val="007F26E0"/>
    <w:rsid w:val="007F3413"/>
    <w:rsid w:val="007F3785"/>
    <w:rsid w:val="007F47B8"/>
    <w:rsid w:val="007F5262"/>
    <w:rsid w:val="007F65E0"/>
    <w:rsid w:val="007F6745"/>
    <w:rsid w:val="007F7C69"/>
    <w:rsid w:val="00800F3E"/>
    <w:rsid w:val="00800F56"/>
    <w:rsid w:val="00802538"/>
    <w:rsid w:val="0080275C"/>
    <w:rsid w:val="00802974"/>
    <w:rsid w:val="00802F0B"/>
    <w:rsid w:val="00803350"/>
    <w:rsid w:val="008040CD"/>
    <w:rsid w:val="00804331"/>
    <w:rsid w:val="008044F0"/>
    <w:rsid w:val="00804D0F"/>
    <w:rsid w:val="00804F0C"/>
    <w:rsid w:val="00806553"/>
    <w:rsid w:val="00807891"/>
    <w:rsid w:val="0081008E"/>
    <w:rsid w:val="00810C64"/>
    <w:rsid w:val="0081102D"/>
    <w:rsid w:val="0081167D"/>
    <w:rsid w:val="008119DD"/>
    <w:rsid w:val="008125E0"/>
    <w:rsid w:val="008138D3"/>
    <w:rsid w:val="0081416B"/>
    <w:rsid w:val="00814341"/>
    <w:rsid w:val="008146BF"/>
    <w:rsid w:val="00815179"/>
    <w:rsid w:val="008154BF"/>
    <w:rsid w:val="008157F8"/>
    <w:rsid w:val="00816010"/>
    <w:rsid w:val="0081626C"/>
    <w:rsid w:val="00816999"/>
    <w:rsid w:val="00816D80"/>
    <w:rsid w:val="00817019"/>
    <w:rsid w:val="008172DF"/>
    <w:rsid w:val="00820009"/>
    <w:rsid w:val="00821DC3"/>
    <w:rsid w:val="00822538"/>
    <w:rsid w:val="00823114"/>
    <w:rsid w:val="0082365D"/>
    <w:rsid w:val="00823D63"/>
    <w:rsid w:val="0082475C"/>
    <w:rsid w:val="00824D1A"/>
    <w:rsid w:val="008250A7"/>
    <w:rsid w:val="008252F7"/>
    <w:rsid w:val="00825906"/>
    <w:rsid w:val="00827514"/>
    <w:rsid w:val="00827828"/>
    <w:rsid w:val="008278AE"/>
    <w:rsid w:val="00830104"/>
    <w:rsid w:val="00830146"/>
    <w:rsid w:val="008304B1"/>
    <w:rsid w:val="00830926"/>
    <w:rsid w:val="008311D3"/>
    <w:rsid w:val="00831D1E"/>
    <w:rsid w:val="00832613"/>
    <w:rsid w:val="00832D28"/>
    <w:rsid w:val="008332AB"/>
    <w:rsid w:val="0083362B"/>
    <w:rsid w:val="00833785"/>
    <w:rsid w:val="00833924"/>
    <w:rsid w:val="00834A6D"/>
    <w:rsid w:val="008353BE"/>
    <w:rsid w:val="0083589B"/>
    <w:rsid w:val="00835E17"/>
    <w:rsid w:val="00835F06"/>
    <w:rsid w:val="00836C01"/>
    <w:rsid w:val="008370F6"/>
    <w:rsid w:val="00841492"/>
    <w:rsid w:val="00841782"/>
    <w:rsid w:val="008428CC"/>
    <w:rsid w:val="00842B9F"/>
    <w:rsid w:val="00842E25"/>
    <w:rsid w:val="00842EFB"/>
    <w:rsid w:val="0084334C"/>
    <w:rsid w:val="0084556A"/>
    <w:rsid w:val="00845A61"/>
    <w:rsid w:val="00846E18"/>
    <w:rsid w:val="00846FA6"/>
    <w:rsid w:val="00847F0C"/>
    <w:rsid w:val="00850BDB"/>
    <w:rsid w:val="00850E20"/>
    <w:rsid w:val="0085183A"/>
    <w:rsid w:val="00852764"/>
    <w:rsid w:val="00852C97"/>
    <w:rsid w:val="00852D68"/>
    <w:rsid w:val="00853380"/>
    <w:rsid w:val="00853F19"/>
    <w:rsid w:val="008547AD"/>
    <w:rsid w:val="008549FD"/>
    <w:rsid w:val="00854E56"/>
    <w:rsid w:val="008556AE"/>
    <w:rsid w:val="00855739"/>
    <w:rsid w:val="008564BC"/>
    <w:rsid w:val="00856629"/>
    <w:rsid w:val="00857A6A"/>
    <w:rsid w:val="00857D3C"/>
    <w:rsid w:val="0086009F"/>
    <w:rsid w:val="0086078C"/>
    <w:rsid w:val="008607AE"/>
    <w:rsid w:val="00860F6D"/>
    <w:rsid w:val="00860F81"/>
    <w:rsid w:val="008616BD"/>
    <w:rsid w:val="008627E2"/>
    <w:rsid w:val="0086325D"/>
    <w:rsid w:val="00863A35"/>
    <w:rsid w:val="00863E49"/>
    <w:rsid w:val="00864766"/>
    <w:rsid w:val="00864F61"/>
    <w:rsid w:val="00865E26"/>
    <w:rsid w:val="008663FF"/>
    <w:rsid w:val="0086682B"/>
    <w:rsid w:val="008671E9"/>
    <w:rsid w:val="008673F5"/>
    <w:rsid w:val="00870136"/>
    <w:rsid w:val="00870A89"/>
    <w:rsid w:val="00870AA8"/>
    <w:rsid w:val="008715BC"/>
    <w:rsid w:val="00874575"/>
    <w:rsid w:val="008751A4"/>
    <w:rsid w:val="00875CFD"/>
    <w:rsid w:val="00880AA3"/>
    <w:rsid w:val="008810BC"/>
    <w:rsid w:val="008813D6"/>
    <w:rsid w:val="0088190D"/>
    <w:rsid w:val="0088332D"/>
    <w:rsid w:val="00883367"/>
    <w:rsid w:val="00883B5B"/>
    <w:rsid w:val="00884A48"/>
    <w:rsid w:val="0088576A"/>
    <w:rsid w:val="0088585E"/>
    <w:rsid w:val="00885F49"/>
    <w:rsid w:val="008867D9"/>
    <w:rsid w:val="00886F15"/>
    <w:rsid w:val="00890840"/>
    <w:rsid w:val="008909D5"/>
    <w:rsid w:val="00890B85"/>
    <w:rsid w:val="00890C70"/>
    <w:rsid w:val="00890E47"/>
    <w:rsid w:val="00890FE7"/>
    <w:rsid w:val="008913DD"/>
    <w:rsid w:val="00891721"/>
    <w:rsid w:val="0089179F"/>
    <w:rsid w:val="00891FDC"/>
    <w:rsid w:val="00893C89"/>
    <w:rsid w:val="00893CC4"/>
    <w:rsid w:val="008940A1"/>
    <w:rsid w:val="00894175"/>
    <w:rsid w:val="008944E1"/>
    <w:rsid w:val="00894EB2"/>
    <w:rsid w:val="00895E10"/>
    <w:rsid w:val="00896593"/>
    <w:rsid w:val="00896784"/>
    <w:rsid w:val="00896B38"/>
    <w:rsid w:val="00896C54"/>
    <w:rsid w:val="00897F42"/>
    <w:rsid w:val="008A05B9"/>
    <w:rsid w:val="008A07FF"/>
    <w:rsid w:val="008A1230"/>
    <w:rsid w:val="008A1495"/>
    <w:rsid w:val="008A14CE"/>
    <w:rsid w:val="008A18D0"/>
    <w:rsid w:val="008A4E39"/>
    <w:rsid w:val="008A5A94"/>
    <w:rsid w:val="008A6762"/>
    <w:rsid w:val="008A7167"/>
    <w:rsid w:val="008B1496"/>
    <w:rsid w:val="008B1B8E"/>
    <w:rsid w:val="008B294E"/>
    <w:rsid w:val="008B2C93"/>
    <w:rsid w:val="008B30A7"/>
    <w:rsid w:val="008B3A00"/>
    <w:rsid w:val="008B5B04"/>
    <w:rsid w:val="008B71BD"/>
    <w:rsid w:val="008B77FC"/>
    <w:rsid w:val="008C0139"/>
    <w:rsid w:val="008C07EB"/>
    <w:rsid w:val="008C0D34"/>
    <w:rsid w:val="008C107E"/>
    <w:rsid w:val="008C2576"/>
    <w:rsid w:val="008C2738"/>
    <w:rsid w:val="008C357C"/>
    <w:rsid w:val="008C39EC"/>
    <w:rsid w:val="008C3F95"/>
    <w:rsid w:val="008C59CC"/>
    <w:rsid w:val="008C5B8F"/>
    <w:rsid w:val="008C683F"/>
    <w:rsid w:val="008C7048"/>
    <w:rsid w:val="008C7F39"/>
    <w:rsid w:val="008D0225"/>
    <w:rsid w:val="008D1DD0"/>
    <w:rsid w:val="008D3445"/>
    <w:rsid w:val="008D504F"/>
    <w:rsid w:val="008D759B"/>
    <w:rsid w:val="008E06E8"/>
    <w:rsid w:val="008E2162"/>
    <w:rsid w:val="008E2247"/>
    <w:rsid w:val="008E25F3"/>
    <w:rsid w:val="008E26B1"/>
    <w:rsid w:val="008E2CFE"/>
    <w:rsid w:val="008E2DD4"/>
    <w:rsid w:val="008E403F"/>
    <w:rsid w:val="008E4109"/>
    <w:rsid w:val="008E4291"/>
    <w:rsid w:val="008E4781"/>
    <w:rsid w:val="008E50AA"/>
    <w:rsid w:val="008E566E"/>
    <w:rsid w:val="008E584C"/>
    <w:rsid w:val="008E644F"/>
    <w:rsid w:val="008E6615"/>
    <w:rsid w:val="008E67FC"/>
    <w:rsid w:val="008E7083"/>
    <w:rsid w:val="008F07F1"/>
    <w:rsid w:val="008F162F"/>
    <w:rsid w:val="008F19DC"/>
    <w:rsid w:val="008F414F"/>
    <w:rsid w:val="008F462F"/>
    <w:rsid w:val="008F5B62"/>
    <w:rsid w:val="008F5C9D"/>
    <w:rsid w:val="008F73C8"/>
    <w:rsid w:val="00900B80"/>
    <w:rsid w:val="00900D22"/>
    <w:rsid w:val="00900E86"/>
    <w:rsid w:val="00901319"/>
    <w:rsid w:val="009028A0"/>
    <w:rsid w:val="00903090"/>
    <w:rsid w:val="00903911"/>
    <w:rsid w:val="00903AF6"/>
    <w:rsid w:val="00905BF6"/>
    <w:rsid w:val="00905CDB"/>
    <w:rsid w:val="009063B8"/>
    <w:rsid w:val="009067E9"/>
    <w:rsid w:val="00906862"/>
    <w:rsid w:val="00906F6B"/>
    <w:rsid w:val="00911645"/>
    <w:rsid w:val="00911FB2"/>
    <w:rsid w:val="009133FB"/>
    <w:rsid w:val="00914404"/>
    <w:rsid w:val="009151F6"/>
    <w:rsid w:val="00917136"/>
    <w:rsid w:val="00920F56"/>
    <w:rsid w:val="00921D0C"/>
    <w:rsid w:val="0092221E"/>
    <w:rsid w:val="00923DEA"/>
    <w:rsid w:val="009242BD"/>
    <w:rsid w:val="00925061"/>
    <w:rsid w:val="009259C5"/>
    <w:rsid w:val="00925D03"/>
    <w:rsid w:val="00926835"/>
    <w:rsid w:val="009268B2"/>
    <w:rsid w:val="00926A71"/>
    <w:rsid w:val="00926AAA"/>
    <w:rsid w:val="00927485"/>
    <w:rsid w:val="00927AB7"/>
    <w:rsid w:val="00930459"/>
    <w:rsid w:val="0093133F"/>
    <w:rsid w:val="0093164B"/>
    <w:rsid w:val="009337B9"/>
    <w:rsid w:val="009338B1"/>
    <w:rsid w:val="00934D66"/>
    <w:rsid w:val="009357AC"/>
    <w:rsid w:val="00937125"/>
    <w:rsid w:val="00940C10"/>
    <w:rsid w:val="00941BE7"/>
    <w:rsid w:val="00942017"/>
    <w:rsid w:val="009423C6"/>
    <w:rsid w:val="00942523"/>
    <w:rsid w:val="00942A8D"/>
    <w:rsid w:val="00943406"/>
    <w:rsid w:val="00943F70"/>
    <w:rsid w:val="009454F3"/>
    <w:rsid w:val="00946F2F"/>
    <w:rsid w:val="00947935"/>
    <w:rsid w:val="00947C83"/>
    <w:rsid w:val="00947E4A"/>
    <w:rsid w:val="00951166"/>
    <w:rsid w:val="0095190A"/>
    <w:rsid w:val="00951D8F"/>
    <w:rsid w:val="00951E7E"/>
    <w:rsid w:val="0095227E"/>
    <w:rsid w:val="009529E3"/>
    <w:rsid w:val="00952F35"/>
    <w:rsid w:val="00956BFA"/>
    <w:rsid w:val="00957DFF"/>
    <w:rsid w:val="00960213"/>
    <w:rsid w:val="00960F45"/>
    <w:rsid w:val="009610F0"/>
    <w:rsid w:val="00961977"/>
    <w:rsid w:val="00961D64"/>
    <w:rsid w:val="00962401"/>
    <w:rsid w:val="00962590"/>
    <w:rsid w:val="0096268E"/>
    <w:rsid w:val="00962B1F"/>
    <w:rsid w:val="00963875"/>
    <w:rsid w:val="00963CA1"/>
    <w:rsid w:val="0096445C"/>
    <w:rsid w:val="00964858"/>
    <w:rsid w:val="009648B3"/>
    <w:rsid w:val="00964A8D"/>
    <w:rsid w:val="00965D4C"/>
    <w:rsid w:val="00965D86"/>
    <w:rsid w:val="0096625F"/>
    <w:rsid w:val="00966D84"/>
    <w:rsid w:val="009678E4"/>
    <w:rsid w:val="009679D0"/>
    <w:rsid w:val="009679E7"/>
    <w:rsid w:val="009704DD"/>
    <w:rsid w:val="00970FAE"/>
    <w:rsid w:val="009717FF"/>
    <w:rsid w:val="00971981"/>
    <w:rsid w:val="009756A4"/>
    <w:rsid w:val="009759C5"/>
    <w:rsid w:val="00975A53"/>
    <w:rsid w:val="00976904"/>
    <w:rsid w:val="00976AE0"/>
    <w:rsid w:val="0097707B"/>
    <w:rsid w:val="009770A9"/>
    <w:rsid w:val="009771E2"/>
    <w:rsid w:val="00977639"/>
    <w:rsid w:val="0097794F"/>
    <w:rsid w:val="00977E21"/>
    <w:rsid w:val="00980434"/>
    <w:rsid w:val="00980C1E"/>
    <w:rsid w:val="00981BD1"/>
    <w:rsid w:val="00981DB3"/>
    <w:rsid w:val="0098306C"/>
    <w:rsid w:val="0098525B"/>
    <w:rsid w:val="00985562"/>
    <w:rsid w:val="00985D42"/>
    <w:rsid w:val="00986133"/>
    <w:rsid w:val="00987C77"/>
    <w:rsid w:val="00987C7D"/>
    <w:rsid w:val="0099010D"/>
    <w:rsid w:val="0099025B"/>
    <w:rsid w:val="009905C1"/>
    <w:rsid w:val="0099155A"/>
    <w:rsid w:val="0099168E"/>
    <w:rsid w:val="0099254D"/>
    <w:rsid w:val="00992E1A"/>
    <w:rsid w:val="0099394C"/>
    <w:rsid w:val="00994EE7"/>
    <w:rsid w:val="00995CC3"/>
    <w:rsid w:val="00996EE5"/>
    <w:rsid w:val="00997046"/>
    <w:rsid w:val="009973E8"/>
    <w:rsid w:val="00997BD1"/>
    <w:rsid w:val="009A0184"/>
    <w:rsid w:val="009A09F0"/>
    <w:rsid w:val="009A14F8"/>
    <w:rsid w:val="009A1A05"/>
    <w:rsid w:val="009A1AF0"/>
    <w:rsid w:val="009A3CAF"/>
    <w:rsid w:val="009A4204"/>
    <w:rsid w:val="009A5672"/>
    <w:rsid w:val="009A5E0C"/>
    <w:rsid w:val="009B0278"/>
    <w:rsid w:val="009B0964"/>
    <w:rsid w:val="009B0CE6"/>
    <w:rsid w:val="009B200C"/>
    <w:rsid w:val="009B3CF2"/>
    <w:rsid w:val="009B48AE"/>
    <w:rsid w:val="009B5593"/>
    <w:rsid w:val="009B5952"/>
    <w:rsid w:val="009B5F03"/>
    <w:rsid w:val="009B61C3"/>
    <w:rsid w:val="009B6449"/>
    <w:rsid w:val="009C0754"/>
    <w:rsid w:val="009C36CF"/>
    <w:rsid w:val="009C3F49"/>
    <w:rsid w:val="009C4A11"/>
    <w:rsid w:val="009C4DEC"/>
    <w:rsid w:val="009C600C"/>
    <w:rsid w:val="009C659A"/>
    <w:rsid w:val="009C727A"/>
    <w:rsid w:val="009C7CCA"/>
    <w:rsid w:val="009D008C"/>
    <w:rsid w:val="009D0233"/>
    <w:rsid w:val="009D0759"/>
    <w:rsid w:val="009D077A"/>
    <w:rsid w:val="009D1533"/>
    <w:rsid w:val="009D2710"/>
    <w:rsid w:val="009D2FCD"/>
    <w:rsid w:val="009D4137"/>
    <w:rsid w:val="009D482B"/>
    <w:rsid w:val="009D51D9"/>
    <w:rsid w:val="009D7419"/>
    <w:rsid w:val="009E04B8"/>
    <w:rsid w:val="009E0FFE"/>
    <w:rsid w:val="009E14DC"/>
    <w:rsid w:val="009E2495"/>
    <w:rsid w:val="009E2BDD"/>
    <w:rsid w:val="009E3F04"/>
    <w:rsid w:val="009E51A4"/>
    <w:rsid w:val="009E5CB1"/>
    <w:rsid w:val="009E5F93"/>
    <w:rsid w:val="009E6C0D"/>
    <w:rsid w:val="009E6E11"/>
    <w:rsid w:val="009E6EB2"/>
    <w:rsid w:val="009F0ECB"/>
    <w:rsid w:val="009F117A"/>
    <w:rsid w:val="009F21C7"/>
    <w:rsid w:val="009F29E9"/>
    <w:rsid w:val="009F2A4B"/>
    <w:rsid w:val="009F3825"/>
    <w:rsid w:val="009F3E66"/>
    <w:rsid w:val="009F44B9"/>
    <w:rsid w:val="009F4A18"/>
    <w:rsid w:val="009F50F7"/>
    <w:rsid w:val="009F683F"/>
    <w:rsid w:val="009F780C"/>
    <w:rsid w:val="009F7956"/>
    <w:rsid w:val="00A015A5"/>
    <w:rsid w:val="00A016B1"/>
    <w:rsid w:val="00A01DB0"/>
    <w:rsid w:val="00A022A8"/>
    <w:rsid w:val="00A02850"/>
    <w:rsid w:val="00A029D9"/>
    <w:rsid w:val="00A02E6F"/>
    <w:rsid w:val="00A02F6D"/>
    <w:rsid w:val="00A076DB"/>
    <w:rsid w:val="00A07C36"/>
    <w:rsid w:val="00A10922"/>
    <w:rsid w:val="00A10F7A"/>
    <w:rsid w:val="00A1136F"/>
    <w:rsid w:val="00A122C4"/>
    <w:rsid w:val="00A1284D"/>
    <w:rsid w:val="00A12B97"/>
    <w:rsid w:val="00A14154"/>
    <w:rsid w:val="00A141F2"/>
    <w:rsid w:val="00A1473E"/>
    <w:rsid w:val="00A14BD3"/>
    <w:rsid w:val="00A15672"/>
    <w:rsid w:val="00A16ECE"/>
    <w:rsid w:val="00A17191"/>
    <w:rsid w:val="00A171A7"/>
    <w:rsid w:val="00A17959"/>
    <w:rsid w:val="00A1795B"/>
    <w:rsid w:val="00A17FCA"/>
    <w:rsid w:val="00A21DBA"/>
    <w:rsid w:val="00A21E8A"/>
    <w:rsid w:val="00A21EDC"/>
    <w:rsid w:val="00A22F97"/>
    <w:rsid w:val="00A2409C"/>
    <w:rsid w:val="00A25567"/>
    <w:rsid w:val="00A25BEB"/>
    <w:rsid w:val="00A25D93"/>
    <w:rsid w:val="00A25DFE"/>
    <w:rsid w:val="00A2626F"/>
    <w:rsid w:val="00A2674A"/>
    <w:rsid w:val="00A269C8"/>
    <w:rsid w:val="00A27261"/>
    <w:rsid w:val="00A27DDC"/>
    <w:rsid w:val="00A30268"/>
    <w:rsid w:val="00A30CEB"/>
    <w:rsid w:val="00A30F58"/>
    <w:rsid w:val="00A32158"/>
    <w:rsid w:val="00A325DF"/>
    <w:rsid w:val="00A345C1"/>
    <w:rsid w:val="00A3495A"/>
    <w:rsid w:val="00A3580A"/>
    <w:rsid w:val="00A36DD9"/>
    <w:rsid w:val="00A36DE3"/>
    <w:rsid w:val="00A4183B"/>
    <w:rsid w:val="00A41944"/>
    <w:rsid w:val="00A42BF7"/>
    <w:rsid w:val="00A431EF"/>
    <w:rsid w:val="00A44215"/>
    <w:rsid w:val="00A45CBB"/>
    <w:rsid w:val="00A4607C"/>
    <w:rsid w:val="00A474E1"/>
    <w:rsid w:val="00A47822"/>
    <w:rsid w:val="00A51647"/>
    <w:rsid w:val="00A52DC1"/>
    <w:rsid w:val="00A53775"/>
    <w:rsid w:val="00A53B26"/>
    <w:rsid w:val="00A54252"/>
    <w:rsid w:val="00A548D0"/>
    <w:rsid w:val="00A54F80"/>
    <w:rsid w:val="00A553EB"/>
    <w:rsid w:val="00A5579C"/>
    <w:rsid w:val="00A55DE2"/>
    <w:rsid w:val="00A56ECE"/>
    <w:rsid w:val="00A601D0"/>
    <w:rsid w:val="00A6050C"/>
    <w:rsid w:val="00A606AD"/>
    <w:rsid w:val="00A60BB7"/>
    <w:rsid w:val="00A621CB"/>
    <w:rsid w:val="00A62954"/>
    <w:rsid w:val="00A637CB"/>
    <w:rsid w:val="00A644A2"/>
    <w:rsid w:val="00A645A1"/>
    <w:rsid w:val="00A65298"/>
    <w:rsid w:val="00A6679D"/>
    <w:rsid w:val="00A67148"/>
    <w:rsid w:val="00A701EE"/>
    <w:rsid w:val="00A70FD6"/>
    <w:rsid w:val="00A718BC"/>
    <w:rsid w:val="00A71D1F"/>
    <w:rsid w:val="00A72566"/>
    <w:rsid w:val="00A72D18"/>
    <w:rsid w:val="00A749CF"/>
    <w:rsid w:val="00A76F0F"/>
    <w:rsid w:val="00A770E7"/>
    <w:rsid w:val="00A80340"/>
    <w:rsid w:val="00A810B1"/>
    <w:rsid w:val="00A8348F"/>
    <w:rsid w:val="00A849E1"/>
    <w:rsid w:val="00A84A70"/>
    <w:rsid w:val="00A84C36"/>
    <w:rsid w:val="00A85115"/>
    <w:rsid w:val="00A857C6"/>
    <w:rsid w:val="00A85F39"/>
    <w:rsid w:val="00A873EA"/>
    <w:rsid w:val="00A8755C"/>
    <w:rsid w:val="00A90740"/>
    <w:rsid w:val="00A90DA7"/>
    <w:rsid w:val="00A91A41"/>
    <w:rsid w:val="00A91D54"/>
    <w:rsid w:val="00A92173"/>
    <w:rsid w:val="00A926A5"/>
    <w:rsid w:val="00A92EA8"/>
    <w:rsid w:val="00A94479"/>
    <w:rsid w:val="00A944E8"/>
    <w:rsid w:val="00A95200"/>
    <w:rsid w:val="00A9522F"/>
    <w:rsid w:val="00A95546"/>
    <w:rsid w:val="00A96573"/>
    <w:rsid w:val="00A97A12"/>
    <w:rsid w:val="00AA044C"/>
    <w:rsid w:val="00AA082D"/>
    <w:rsid w:val="00AA08CA"/>
    <w:rsid w:val="00AA15A3"/>
    <w:rsid w:val="00AA1A9B"/>
    <w:rsid w:val="00AA2145"/>
    <w:rsid w:val="00AA248B"/>
    <w:rsid w:val="00AA3B4F"/>
    <w:rsid w:val="00AA4E8C"/>
    <w:rsid w:val="00AA526F"/>
    <w:rsid w:val="00AA5718"/>
    <w:rsid w:val="00AA5CC5"/>
    <w:rsid w:val="00AA78DA"/>
    <w:rsid w:val="00AA79EF"/>
    <w:rsid w:val="00AA7C85"/>
    <w:rsid w:val="00AA7FAF"/>
    <w:rsid w:val="00AB0452"/>
    <w:rsid w:val="00AB0504"/>
    <w:rsid w:val="00AB144D"/>
    <w:rsid w:val="00AB14CD"/>
    <w:rsid w:val="00AB25EA"/>
    <w:rsid w:val="00AB2985"/>
    <w:rsid w:val="00AB4647"/>
    <w:rsid w:val="00AB500D"/>
    <w:rsid w:val="00AB5054"/>
    <w:rsid w:val="00AB505D"/>
    <w:rsid w:val="00AB5A0C"/>
    <w:rsid w:val="00AB5C62"/>
    <w:rsid w:val="00AB68E7"/>
    <w:rsid w:val="00AB7718"/>
    <w:rsid w:val="00AB7A54"/>
    <w:rsid w:val="00AC0295"/>
    <w:rsid w:val="00AC0667"/>
    <w:rsid w:val="00AC1F6A"/>
    <w:rsid w:val="00AC309E"/>
    <w:rsid w:val="00AC3709"/>
    <w:rsid w:val="00AC37A8"/>
    <w:rsid w:val="00AC52A4"/>
    <w:rsid w:val="00AC5569"/>
    <w:rsid w:val="00AC5686"/>
    <w:rsid w:val="00AC5879"/>
    <w:rsid w:val="00AC5ACF"/>
    <w:rsid w:val="00AC6246"/>
    <w:rsid w:val="00AC628A"/>
    <w:rsid w:val="00AC7441"/>
    <w:rsid w:val="00AD0DE6"/>
    <w:rsid w:val="00AD129D"/>
    <w:rsid w:val="00AD136E"/>
    <w:rsid w:val="00AD165C"/>
    <w:rsid w:val="00AD269F"/>
    <w:rsid w:val="00AD3B64"/>
    <w:rsid w:val="00AD51AB"/>
    <w:rsid w:val="00AD5E71"/>
    <w:rsid w:val="00AD6510"/>
    <w:rsid w:val="00AD7790"/>
    <w:rsid w:val="00AD7A48"/>
    <w:rsid w:val="00AE04EB"/>
    <w:rsid w:val="00AE0A3E"/>
    <w:rsid w:val="00AE1479"/>
    <w:rsid w:val="00AE147C"/>
    <w:rsid w:val="00AE3370"/>
    <w:rsid w:val="00AE39ED"/>
    <w:rsid w:val="00AE52E9"/>
    <w:rsid w:val="00AE5433"/>
    <w:rsid w:val="00AE56AB"/>
    <w:rsid w:val="00AE668B"/>
    <w:rsid w:val="00AE726D"/>
    <w:rsid w:val="00AF1CB4"/>
    <w:rsid w:val="00AF2273"/>
    <w:rsid w:val="00AF315A"/>
    <w:rsid w:val="00AF3F86"/>
    <w:rsid w:val="00AF626B"/>
    <w:rsid w:val="00AF7139"/>
    <w:rsid w:val="00AF7B8E"/>
    <w:rsid w:val="00B0083E"/>
    <w:rsid w:val="00B00A07"/>
    <w:rsid w:val="00B0191B"/>
    <w:rsid w:val="00B01D40"/>
    <w:rsid w:val="00B0235E"/>
    <w:rsid w:val="00B02B9C"/>
    <w:rsid w:val="00B02E3B"/>
    <w:rsid w:val="00B0300A"/>
    <w:rsid w:val="00B0354B"/>
    <w:rsid w:val="00B040DE"/>
    <w:rsid w:val="00B04302"/>
    <w:rsid w:val="00B048C2"/>
    <w:rsid w:val="00B05111"/>
    <w:rsid w:val="00B05A83"/>
    <w:rsid w:val="00B06419"/>
    <w:rsid w:val="00B11018"/>
    <w:rsid w:val="00B11816"/>
    <w:rsid w:val="00B11C74"/>
    <w:rsid w:val="00B12FD7"/>
    <w:rsid w:val="00B13324"/>
    <w:rsid w:val="00B13375"/>
    <w:rsid w:val="00B15099"/>
    <w:rsid w:val="00B1588C"/>
    <w:rsid w:val="00B158F1"/>
    <w:rsid w:val="00B16A6D"/>
    <w:rsid w:val="00B170FE"/>
    <w:rsid w:val="00B175E7"/>
    <w:rsid w:val="00B21577"/>
    <w:rsid w:val="00B22BFB"/>
    <w:rsid w:val="00B23015"/>
    <w:rsid w:val="00B23334"/>
    <w:rsid w:val="00B250C6"/>
    <w:rsid w:val="00B25882"/>
    <w:rsid w:val="00B25E4F"/>
    <w:rsid w:val="00B2782F"/>
    <w:rsid w:val="00B278C4"/>
    <w:rsid w:val="00B27E1A"/>
    <w:rsid w:val="00B304C7"/>
    <w:rsid w:val="00B32DBD"/>
    <w:rsid w:val="00B3371B"/>
    <w:rsid w:val="00B339D9"/>
    <w:rsid w:val="00B33BB6"/>
    <w:rsid w:val="00B34311"/>
    <w:rsid w:val="00B352A5"/>
    <w:rsid w:val="00B36C2B"/>
    <w:rsid w:val="00B377E0"/>
    <w:rsid w:val="00B37A55"/>
    <w:rsid w:val="00B37C04"/>
    <w:rsid w:val="00B37F3E"/>
    <w:rsid w:val="00B400DD"/>
    <w:rsid w:val="00B404FE"/>
    <w:rsid w:val="00B40AE4"/>
    <w:rsid w:val="00B40D60"/>
    <w:rsid w:val="00B41318"/>
    <w:rsid w:val="00B427C6"/>
    <w:rsid w:val="00B43873"/>
    <w:rsid w:val="00B44391"/>
    <w:rsid w:val="00B451A4"/>
    <w:rsid w:val="00B4527A"/>
    <w:rsid w:val="00B45A32"/>
    <w:rsid w:val="00B464E3"/>
    <w:rsid w:val="00B47081"/>
    <w:rsid w:val="00B472AF"/>
    <w:rsid w:val="00B47DFC"/>
    <w:rsid w:val="00B505CD"/>
    <w:rsid w:val="00B519BC"/>
    <w:rsid w:val="00B51D39"/>
    <w:rsid w:val="00B52ED9"/>
    <w:rsid w:val="00B533D6"/>
    <w:rsid w:val="00B53539"/>
    <w:rsid w:val="00B55D4A"/>
    <w:rsid w:val="00B55F10"/>
    <w:rsid w:val="00B5609E"/>
    <w:rsid w:val="00B5710A"/>
    <w:rsid w:val="00B57350"/>
    <w:rsid w:val="00B604E8"/>
    <w:rsid w:val="00B60A35"/>
    <w:rsid w:val="00B6126A"/>
    <w:rsid w:val="00B61BB3"/>
    <w:rsid w:val="00B6239E"/>
    <w:rsid w:val="00B62535"/>
    <w:rsid w:val="00B63774"/>
    <w:rsid w:val="00B63C6D"/>
    <w:rsid w:val="00B64E53"/>
    <w:rsid w:val="00B6593F"/>
    <w:rsid w:val="00B65A95"/>
    <w:rsid w:val="00B65EFD"/>
    <w:rsid w:val="00B66070"/>
    <w:rsid w:val="00B66C92"/>
    <w:rsid w:val="00B66CFF"/>
    <w:rsid w:val="00B66E20"/>
    <w:rsid w:val="00B702D9"/>
    <w:rsid w:val="00B716F0"/>
    <w:rsid w:val="00B71776"/>
    <w:rsid w:val="00B72A4B"/>
    <w:rsid w:val="00B7388C"/>
    <w:rsid w:val="00B73C99"/>
    <w:rsid w:val="00B744AB"/>
    <w:rsid w:val="00B762EB"/>
    <w:rsid w:val="00B76640"/>
    <w:rsid w:val="00B76B3D"/>
    <w:rsid w:val="00B7710B"/>
    <w:rsid w:val="00B77F91"/>
    <w:rsid w:val="00B8050B"/>
    <w:rsid w:val="00B80D2D"/>
    <w:rsid w:val="00B80F2D"/>
    <w:rsid w:val="00B812D6"/>
    <w:rsid w:val="00B82026"/>
    <w:rsid w:val="00B835C5"/>
    <w:rsid w:val="00B839BB"/>
    <w:rsid w:val="00B850C6"/>
    <w:rsid w:val="00B853A9"/>
    <w:rsid w:val="00B85477"/>
    <w:rsid w:val="00B86DCD"/>
    <w:rsid w:val="00B86F20"/>
    <w:rsid w:val="00B878E4"/>
    <w:rsid w:val="00B90963"/>
    <w:rsid w:val="00B9105B"/>
    <w:rsid w:val="00B911EB"/>
    <w:rsid w:val="00B92B9B"/>
    <w:rsid w:val="00B934FB"/>
    <w:rsid w:val="00B96251"/>
    <w:rsid w:val="00B96907"/>
    <w:rsid w:val="00B972EF"/>
    <w:rsid w:val="00B977B9"/>
    <w:rsid w:val="00B97881"/>
    <w:rsid w:val="00B97948"/>
    <w:rsid w:val="00BA0024"/>
    <w:rsid w:val="00BA09C6"/>
    <w:rsid w:val="00BA4253"/>
    <w:rsid w:val="00BA4CAD"/>
    <w:rsid w:val="00BA589B"/>
    <w:rsid w:val="00BA635D"/>
    <w:rsid w:val="00BA7330"/>
    <w:rsid w:val="00BA7652"/>
    <w:rsid w:val="00BA7838"/>
    <w:rsid w:val="00BB006B"/>
    <w:rsid w:val="00BB0978"/>
    <w:rsid w:val="00BB0EAA"/>
    <w:rsid w:val="00BB2C44"/>
    <w:rsid w:val="00BB3146"/>
    <w:rsid w:val="00BB3219"/>
    <w:rsid w:val="00BB3412"/>
    <w:rsid w:val="00BB3A43"/>
    <w:rsid w:val="00BB44AD"/>
    <w:rsid w:val="00BB4F8D"/>
    <w:rsid w:val="00BB653B"/>
    <w:rsid w:val="00BB6EE9"/>
    <w:rsid w:val="00BB7891"/>
    <w:rsid w:val="00BC2526"/>
    <w:rsid w:val="00BC2549"/>
    <w:rsid w:val="00BC3000"/>
    <w:rsid w:val="00BC3221"/>
    <w:rsid w:val="00BC3893"/>
    <w:rsid w:val="00BC3E40"/>
    <w:rsid w:val="00BC431A"/>
    <w:rsid w:val="00BC49E8"/>
    <w:rsid w:val="00BC4C77"/>
    <w:rsid w:val="00BC4E3A"/>
    <w:rsid w:val="00BC50F7"/>
    <w:rsid w:val="00BC597A"/>
    <w:rsid w:val="00BC5A03"/>
    <w:rsid w:val="00BC69F4"/>
    <w:rsid w:val="00BC6DA8"/>
    <w:rsid w:val="00BD03BA"/>
    <w:rsid w:val="00BD03BC"/>
    <w:rsid w:val="00BD0A46"/>
    <w:rsid w:val="00BD2378"/>
    <w:rsid w:val="00BD248B"/>
    <w:rsid w:val="00BD3692"/>
    <w:rsid w:val="00BD3F4B"/>
    <w:rsid w:val="00BD53D3"/>
    <w:rsid w:val="00BD5E83"/>
    <w:rsid w:val="00BD6344"/>
    <w:rsid w:val="00BD7706"/>
    <w:rsid w:val="00BE08E4"/>
    <w:rsid w:val="00BE1221"/>
    <w:rsid w:val="00BE1C68"/>
    <w:rsid w:val="00BE284A"/>
    <w:rsid w:val="00BE2F52"/>
    <w:rsid w:val="00BE39D6"/>
    <w:rsid w:val="00BE3AAF"/>
    <w:rsid w:val="00BE43ED"/>
    <w:rsid w:val="00BE61B6"/>
    <w:rsid w:val="00BE6416"/>
    <w:rsid w:val="00BE684F"/>
    <w:rsid w:val="00BE6943"/>
    <w:rsid w:val="00BE6CD2"/>
    <w:rsid w:val="00BF30C0"/>
    <w:rsid w:val="00BF3A43"/>
    <w:rsid w:val="00BF3B80"/>
    <w:rsid w:val="00BF3D3D"/>
    <w:rsid w:val="00BF4C9D"/>
    <w:rsid w:val="00BF5560"/>
    <w:rsid w:val="00BF60EA"/>
    <w:rsid w:val="00BF6743"/>
    <w:rsid w:val="00BF727F"/>
    <w:rsid w:val="00BF7D0D"/>
    <w:rsid w:val="00C0026F"/>
    <w:rsid w:val="00C00D98"/>
    <w:rsid w:val="00C00DC6"/>
    <w:rsid w:val="00C013EF"/>
    <w:rsid w:val="00C01C6F"/>
    <w:rsid w:val="00C024B4"/>
    <w:rsid w:val="00C03151"/>
    <w:rsid w:val="00C0380D"/>
    <w:rsid w:val="00C03910"/>
    <w:rsid w:val="00C04250"/>
    <w:rsid w:val="00C04303"/>
    <w:rsid w:val="00C045FC"/>
    <w:rsid w:val="00C04C25"/>
    <w:rsid w:val="00C04EDE"/>
    <w:rsid w:val="00C04FD8"/>
    <w:rsid w:val="00C0601C"/>
    <w:rsid w:val="00C061F1"/>
    <w:rsid w:val="00C06DB3"/>
    <w:rsid w:val="00C1142C"/>
    <w:rsid w:val="00C116E5"/>
    <w:rsid w:val="00C11BBA"/>
    <w:rsid w:val="00C12BFB"/>
    <w:rsid w:val="00C12D02"/>
    <w:rsid w:val="00C13E39"/>
    <w:rsid w:val="00C1460C"/>
    <w:rsid w:val="00C148BF"/>
    <w:rsid w:val="00C159EF"/>
    <w:rsid w:val="00C15A8D"/>
    <w:rsid w:val="00C175FC"/>
    <w:rsid w:val="00C17CD1"/>
    <w:rsid w:val="00C211C3"/>
    <w:rsid w:val="00C21A8E"/>
    <w:rsid w:val="00C22C9A"/>
    <w:rsid w:val="00C232C1"/>
    <w:rsid w:val="00C26142"/>
    <w:rsid w:val="00C26342"/>
    <w:rsid w:val="00C26634"/>
    <w:rsid w:val="00C26641"/>
    <w:rsid w:val="00C31587"/>
    <w:rsid w:val="00C3160F"/>
    <w:rsid w:val="00C31615"/>
    <w:rsid w:val="00C31BFD"/>
    <w:rsid w:val="00C3207B"/>
    <w:rsid w:val="00C32FC9"/>
    <w:rsid w:val="00C3450E"/>
    <w:rsid w:val="00C35B03"/>
    <w:rsid w:val="00C364BE"/>
    <w:rsid w:val="00C37A68"/>
    <w:rsid w:val="00C37E00"/>
    <w:rsid w:val="00C4022F"/>
    <w:rsid w:val="00C4178F"/>
    <w:rsid w:val="00C41D0C"/>
    <w:rsid w:val="00C428C1"/>
    <w:rsid w:val="00C437F5"/>
    <w:rsid w:val="00C43932"/>
    <w:rsid w:val="00C446D1"/>
    <w:rsid w:val="00C44ADE"/>
    <w:rsid w:val="00C476EF"/>
    <w:rsid w:val="00C50BEE"/>
    <w:rsid w:val="00C520A4"/>
    <w:rsid w:val="00C5219B"/>
    <w:rsid w:val="00C52EC8"/>
    <w:rsid w:val="00C5343A"/>
    <w:rsid w:val="00C53580"/>
    <w:rsid w:val="00C53D0F"/>
    <w:rsid w:val="00C54590"/>
    <w:rsid w:val="00C55219"/>
    <w:rsid w:val="00C55255"/>
    <w:rsid w:val="00C55662"/>
    <w:rsid w:val="00C556D3"/>
    <w:rsid w:val="00C57842"/>
    <w:rsid w:val="00C61665"/>
    <w:rsid w:val="00C6195F"/>
    <w:rsid w:val="00C619CD"/>
    <w:rsid w:val="00C632A4"/>
    <w:rsid w:val="00C63D08"/>
    <w:rsid w:val="00C64564"/>
    <w:rsid w:val="00C64F1A"/>
    <w:rsid w:val="00C65E5C"/>
    <w:rsid w:val="00C66D1A"/>
    <w:rsid w:val="00C6742A"/>
    <w:rsid w:val="00C677C0"/>
    <w:rsid w:val="00C67999"/>
    <w:rsid w:val="00C70BE6"/>
    <w:rsid w:val="00C72E2C"/>
    <w:rsid w:val="00C73783"/>
    <w:rsid w:val="00C74096"/>
    <w:rsid w:val="00C74E64"/>
    <w:rsid w:val="00C75E31"/>
    <w:rsid w:val="00C7619D"/>
    <w:rsid w:val="00C7657B"/>
    <w:rsid w:val="00C8078F"/>
    <w:rsid w:val="00C81FFF"/>
    <w:rsid w:val="00C822D9"/>
    <w:rsid w:val="00C82533"/>
    <w:rsid w:val="00C82685"/>
    <w:rsid w:val="00C82759"/>
    <w:rsid w:val="00C829B5"/>
    <w:rsid w:val="00C83B7C"/>
    <w:rsid w:val="00C85AC4"/>
    <w:rsid w:val="00C87B9D"/>
    <w:rsid w:val="00C87CC3"/>
    <w:rsid w:val="00C90111"/>
    <w:rsid w:val="00C903DD"/>
    <w:rsid w:val="00C90A29"/>
    <w:rsid w:val="00C90FE7"/>
    <w:rsid w:val="00C911C4"/>
    <w:rsid w:val="00C92109"/>
    <w:rsid w:val="00C9493F"/>
    <w:rsid w:val="00C949B5"/>
    <w:rsid w:val="00C94F83"/>
    <w:rsid w:val="00CA064F"/>
    <w:rsid w:val="00CA12FA"/>
    <w:rsid w:val="00CA22DA"/>
    <w:rsid w:val="00CA26D9"/>
    <w:rsid w:val="00CA485A"/>
    <w:rsid w:val="00CA4EE8"/>
    <w:rsid w:val="00CA66C1"/>
    <w:rsid w:val="00CA6A9D"/>
    <w:rsid w:val="00CA6AD2"/>
    <w:rsid w:val="00CA6B97"/>
    <w:rsid w:val="00CA7C07"/>
    <w:rsid w:val="00CB06B3"/>
    <w:rsid w:val="00CB1DBF"/>
    <w:rsid w:val="00CB2186"/>
    <w:rsid w:val="00CB2569"/>
    <w:rsid w:val="00CB2957"/>
    <w:rsid w:val="00CB2BE6"/>
    <w:rsid w:val="00CB4670"/>
    <w:rsid w:val="00CB4DDA"/>
    <w:rsid w:val="00CB5045"/>
    <w:rsid w:val="00CB62A8"/>
    <w:rsid w:val="00CC136D"/>
    <w:rsid w:val="00CC160B"/>
    <w:rsid w:val="00CC23D4"/>
    <w:rsid w:val="00CC318E"/>
    <w:rsid w:val="00CC3E6C"/>
    <w:rsid w:val="00CC53AD"/>
    <w:rsid w:val="00CC6127"/>
    <w:rsid w:val="00CC6A86"/>
    <w:rsid w:val="00CD1340"/>
    <w:rsid w:val="00CD1623"/>
    <w:rsid w:val="00CD1806"/>
    <w:rsid w:val="00CD2EC2"/>
    <w:rsid w:val="00CD329F"/>
    <w:rsid w:val="00CD46AB"/>
    <w:rsid w:val="00CD50DA"/>
    <w:rsid w:val="00CD51CF"/>
    <w:rsid w:val="00CD5255"/>
    <w:rsid w:val="00CD5324"/>
    <w:rsid w:val="00CD5526"/>
    <w:rsid w:val="00CD599C"/>
    <w:rsid w:val="00CD644B"/>
    <w:rsid w:val="00CD6540"/>
    <w:rsid w:val="00CD6D0B"/>
    <w:rsid w:val="00CD77B0"/>
    <w:rsid w:val="00CE0157"/>
    <w:rsid w:val="00CE0B5F"/>
    <w:rsid w:val="00CE1457"/>
    <w:rsid w:val="00CE1B54"/>
    <w:rsid w:val="00CE1C99"/>
    <w:rsid w:val="00CE1FDC"/>
    <w:rsid w:val="00CE28A3"/>
    <w:rsid w:val="00CE4001"/>
    <w:rsid w:val="00CE450C"/>
    <w:rsid w:val="00CE50A9"/>
    <w:rsid w:val="00CE52EF"/>
    <w:rsid w:val="00CE5C9C"/>
    <w:rsid w:val="00CE603B"/>
    <w:rsid w:val="00CE65C9"/>
    <w:rsid w:val="00CE6EB4"/>
    <w:rsid w:val="00CE759C"/>
    <w:rsid w:val="00CE77F8"/>
    <w:rsid w:val="00CF0B41"/>
    <w:rsid w:val="00CF1A68"/>
    <w:rsid w:val="00CF28A4"/>
    <w:rsid w:val="00CF3B0B"/>
    <w:rsid w:val="00CF3E37"/>
    <w:rsid w:val="00CF4736"/>
    <w:rsid w:val="00CF49EA"/>
    <w:rsid w:val="00CF5F3A"/>
    <w:rsid w:val="00CF6115"/>
    <w:rsid w:val="00CF6D91"/>
    <w:rsid w:val="00CF736A"/>
    <w:rsid w:val="00D00058"/>
    <w:rsid w:val="00D010D9"/>
    <w:rsid w:val="00D012A4"/>
    <w:rsid w:val="00D017F8"/>
    <w:rsid w:val="00D02D13"/>
    <w:rsid w:val="00D039FE"/>
    <w:rsid w:val="00D03F04"/>
    <w:rsid w:val="00D03FE1"/>
    <w:rsid w:val="00D04051"/>
    <w:rsid w:val="00D04541"/>
    <w:rsid w:val="00D049BB"/>
    <w:rsid w:val="00D05911"/>
    <w:rsid w:val="00D06BA1"/>
    <w:rsid w:val="00D0744B"/>
    <w:rsid w:val="00D10219"/>
    <w:rsid w:val="00D103EF"/>
    <w:rsid w:val="00D104A2"/>
    <w:rsid w:val="00D104DA"/>
    <w:rsid w:val="00D10B86"/>
    <w:rsid w:val="00D11354"/>
    <w:rsid w:val="00D114F4"/>
    <w:rsid w:val="00D124C6"/>
    <w:rsid w:val="00D125C2"/>
    <w:rsid w:val="00D12894"/>
    <w:rsid w:val="00D132FB"/>
    <w:rsid w:val="00D1335F"/>
    <w:rsid w:val="00D151A8"/>
    <w:rsid w:val="00D1534B"/>
    <w:rsid w:val="00D15958"/>
    <w:rsid w:val="00D15E24"/>
    <w:rsid w:val="00D15E9F"/>
    <w:rsid w:val="00D160E8"/>
    <w:rsid w:val="00D16866"/>
    <w:rsid w:val="00D17238"/>
    <w:rsid w:val="00D1740A"/>
    <w:rsid w:val="00D17F44"/>
    <w:rsid w:val="00D216B0"/>
    <w:rsid w:val="00D21D26"/>
    <w:rsid w:val="00D231E7"/>
    <w:rsid w:val="00D2342A"/>
    <w:rsid w:val="00D236BF"/>
    <w:rsid w:val="00D23766"/>
    <w:rsid w:val="00D239EC"/>
    <w:rsid w:val="00D241D4"/>
    <w:rsid w:val="00D24BA5"/>
    <w:rsid w:val="00D24D79"/>
    <w:rsid w:val="00D25C3C"/>
    <w:rsid w:val="00D25F90"/>
    <w:rsid w:val="00D2603F"/>
    <w:rsid w:val="00D2697E"/>
    <w:rsid w:val="00D26986"/>
    <w:rsid w:val="00D27553"/>
    <w:rsid w:val="00D27B8F"/>
    <w:rsid w:val="00D3006B"/>
    <w:rsid w:val="00D30CF5"/>
    <w:rsid w:val="00D30CFD"/>
    <w:rsid w:val="00D31A60"/>
    <w:rsid w:val="00D31D33"/>
    <w:rsid w:val="00D32820"/>
    <w:rsid w:val="00D330C7"/>
    <w:rsid w:val="00D33339"/>
    <w:rsid w:val="00D33850"/>
    <w:rsid w:val="00D345F3"/>
    <w:rsid w:val="00D3575A"/>
    <w:rsid w:val="00D35D55"/>
    <w:rsid w:val="00D36356"/>
    <w:rsid w:val="00D3768A"/>
    <w:rsid w:val="00D40524"/>
    <w:rsid w:val="00D40C77"/>
    <w:rsid w:val="00D4111B"/>
    <w:rsid w:val="00D427E7"/>
    <w:rsid w:val="00D434B4"/>
    <w:rsid w:val="00D437B8"/>
    <w:rsid w:val="00D43DED"/>
    <w:rsid w:val="00D444CA"/>
    <w:rsid w:val="00D45A5B"/>
    <w:rsid w:val="00D4600B"/>
    <w:rsid w:val="00D46B86"/>
    <w:rsid w:val="00D46EBA"/>
    <w:rsid w:val="00D476C3"/>
    <w:rsid w:val="00D50160"/>
    <w:rsid w:val="00D504C5"/>
    <w:rsid w:val="00D50898"/>
    <w:rsid w:val="00D50F05"/>
    <w:rsid w:val="00D515C4"/>
    <w:rsid w:val="00D51F40"/>
    <w:rsid w:val="00D53301"/>
    <w:rsid w:val="00D55742"/>
    <w:rsid w:val="00D55F60"/>
    <w:rsid w:val="00D56F16"/>
    <w:rsid w:val="00D57CFE"/>
    <w:rsid w:val="00D60019"/>
    <w:rsid w:val="00D607BC"/>
    <w:rsid w:val="00D613F6"/>
    <w:rsid w:val="00D61403"/>
    <w:rsid w:val="00D629C0"/>
    <w:rsid w:val="00D632A6"/>
    <w:rsid w:val="00D647DB"/>
    <w:rsid w:val="00D65877"/>
    <w:rsid w:val="00D65B1C"/>
    <w:rsid w:val="00D668C7"/>
    <w:rsid w:val="00D66F77"/>
    <w:rsid w:val="00D673EB"/>
    <w:rsid w:val="00D6799E"/>
    <w:rsid w:val="00D70BDE"/>
    <w:rsid w:val="00D71077"/>
    <w:rsid w:val="00D712E9"/>
    <w:rsid w:val="00D71D25"/>
    <w:rsid w:val="00D726B6"/>
    <w:rsid w:val="00D736A1"/>
    <w:rsid w:val="00D74398"/>
    <w:rsid w:val="00D7583E"/>
    <w:rsid w:val="00D75E64"/>
    <w:rsid w:val="00D76618"/>
    <w:rsid w:val="00D76AF0"/>
    <w:rsid w:val="00D76E56"/>
    <w:rsid w:val="00D80DC7"/>
    <w:rsid w:val="00D812B9"/>
    <w:rsid w:val="00D8147E"/>
    <w:rsid w:val="00D81F19"/>
    <w:rsid w:val="00D8288E"/>
    <w:rsid w:val="00D82D9F"/>
    <w:rsid w:val="00D83B38"/>
    <w:rsid w:val="00D847C8"/>
    <w:rsid w:val="00D85218"/>
    <w:rsid w:val="00D85ACE"/>
    <w:rsid w:val="00D860C4"/>
    <w:rsid w:val="00D865AC"/>
    <w:rsid w:val="00D865C2"/>
    <w:rsid w:val="00D8709A"/>
    <w:rsid w:val="00D878A3"/>
    <w:rsid w:val="00D910AB"/>
    <w:rsid w:val="00D93516"/>
    <w:rsid w:val="00D93EDA"/>
    <w:rsid w:val="00D966D9"/>
    <w:rsid w:val="00D969B3"/>
    <w:rsid w:val="00D96B9B"/>
    <w:rsid w:val="00D96D2D"/>
    <w:rsid w:val="00DA0633"/>
    <w:rsid w:val="00DA0B59"/>
    <w:rsid w:val="00DA0C2F"/>
    <w:rsid w:val="00DA0D12"/>
    <w:rsid w:val="00DA0F2E"/>
    <w:rsid w:val="00DA164C"/>
    <w:rsid w:val="00DA2E2A"/>
    <w:rsid w:val="00DA36F7"/>
    <w:rsid w:val="00DA3AA8"/>
    <w:rsid w:val="00DA44B4"/>
    <w:rsid w:val="00DA566E"/>
    <w:rsid w:val="00DA7459"/>
    <w:rsid w:val="00DA7799"/>
    <w:rsid w:val="00DA7C1D"/>
    <w:rsid w:val="00DB0860"/>
    <w:rsid w:val="00DB1F6A"/>
    <w:rsid w:val="00DB24CC"/>
    <w:rsid w:val="00DB309E"/>
    <w:rsid w:val="00DB4E2B"/>
    <w:rsid w:val="00DB588C"/>
    <w:rsid w:val="00DB6978"/>
    <w:rsid w:val="00DB6DB6"/>
    <w:rsid w:val="00DB700F"/>
    <w:rsid w:val="00DB7324"/>
    <w:rsid w:val="00DB7602"/>
    <w:rsid w:val="00DB7D0B"/>
    <w:rsid w:val="00DC1869"/>
    <w:rsid w:val="00DC1C5B"/>
    <w:rsid w:val="00DC24DC"/>
    <w:rsid w:val="00DC3CF8"/>
    <w:rsid w:val="00DC466A"/>
    <w:rsid w:val="00DC4C28"/>
    <w:rsid w:val="00DC5194"/>
    <w:rsid w:val="00DC5B0C"/>
    <w:rsid w:val="00DC60D7"/>
    <w:rsid w:val="00DC60ED"/>
    <w:rsid w:val="00DC667C"/>
    <w:rsid w:val="00DC6F8E"/>
    <w:rsid w:val="00DC72D1"/>
    <w:rsid w:val="00DC7371"/>
    <w:rsid w:val="00DC7581"/>
    <w:rsid w:val="00DD0919"/>
    <w:rsid w:val="00DD09DF"/>
    <w:rsid w:val="00DD0E85"/>
    <w:rsid w:val="00DD211F"/>
    <w:rsid w:val="00DD2213"/>
    <w:rsid w:val="00DD2B5F"/>
    <w:rsid w:val="00DD3096"/>
    <w:rsid w:val="00DD31F9"/>
    <w:rsid w:val="00DD35A8"/>
    <w:rsid w:val="00DD41A3"/>
    <w:rsid w:val="00DD46B3"/>
    <w:rsid w:val="00DD50BE"/>
    <w:rsid w:val="00DD5E36"/>
    <w:rsid w:val="00DD6E0C"/>
    <w:rsid w:val="00DD7059"/>
    <w:rsid w:val="00DD7E6E"/>
    <w:rsid w:val="00DE0F54"/>
    <w:rsid w:val="00DE120E"/>
    <w:rsid w:val="00DE1674"/>
    <w:rsid w:val="00DE2786"/>
    <w:rsid w:val="00DE2898"/>
    <w:rsid w:val="00DE335D"/>
    <w:rsid w:val="00DE3401"/>
    <w:rsid w:val="00DE347D"/>
    <w:rsid w:val="00DE38C5"/>
    <w:rsid w:val="00DE3C83"/>
    <w:rsid w:val="00DE3D73"/>
    <w:rsid w:val="00DE551A"/>
    <w:rsid w:val="00DE59A6"/>
    <w:rsid w:val="00DE6684"/>
    <w:rsid w:val="00DE73D4"/>
    <w:rsid w:val="00DE7781"/>
    <w:rsid w:val="00DE7DC6"/>
    <w:rsid w:val="00DF1CC9"/>
    <w:rsid w:val="00DF1DA6"/>
    <w:rsid w:val="00DF2702"/>
    <w:rsid w:val="00DF3F42"/>
    <w:rsid w:val="00DF44BC"/>
    <w:rsid w:val="00DF4D81"/>
    <w:rsid w:val="00DF4DB9"/>
    <w:rsid w:val="00DF517A"/>
    <w:rsid w:val="00DF548E"/>
    <w:rsid w:val="00DF5AFC"/>
    <w:rsid w:val="00DF6EFB"/>
    <w:rsid w:val="00DF6F5F"/>
    <w:rsid w:val="00E0014D"/>
    <w:rsid w:val="00E00739"/>
    <w:rsid w:val="00E00D18"/>
    <w:rsid w:val="00E00DCD"/>
    <w:rsid w:val="00E01537"/>
    <w:rsid w:val="00E01937"/>
    <w:rsid w:val="00E01F5A"/>
    <w:rsid w:val="00E02B94"/>
    <w:rsid w:val="00E0549B"/>
    <w:rsid w:val="00E0591B"/>
    <w:rsid w:val="00E05ABC"/>
    <w:rsid w:val="00E05F01"/>
    <w:rsid w:val="00E06B85"/>
    <w:rsid w:val="00E06FBF"/>
    <w:rsid w:val="00E07021"/>
    <w:rsid w:val="00E073D3"/>
    <w:rsid w:val="00E0769C"/>
    <w:rsid w:val="00E07CB3"/>
    <w:rsid w:val="00E1005A"/>
    <w:rsid w:val="00E10F0C"/>
    <w:rsid w:val="00E11860"/>
    <w:rsid w:val="00E12389"/>
    <w:rsid w:val="00E126E2"/>
    <w:rsid w:val="00E12DAD"/>
    <w:rsid w:val="00E12EE3"/>
    <w:rsid w:val="00E13CA1"/>
    <w:rsid w:val="00E1547E"/>
    <w:rsid w:val="00E155B0"/>
    <w:rsid w:val="00E15AC4"/>
    <w:rsid w:val="00E16711"/>
    <w:rsid w:val="00E17565"/>
    <w:rsid w:val="00E177AE"/>
    <w:rsid w:val="00E2006A"/>
    <w:rsid w:val="00E20800"/>
    <w:rsid w:val="00E20D2B"/>
    <w:rsid w:val="00E21815"/>
    <w:rsid w:val="00E220C7"/>
    <w:rsid w:val="00E220EC"/>
    <w:rsid w:val="00E2210A"/>
    <w:rsid w:val="00E24445"/>
    <w:rsid w:val="00E249A2"/>
    <w:rsid w:val="00E24FA1"/>
    <w:rsid w:val="00E24FBE"/>
    <w:rsid w:val="00E25256"/>
    <w:rsid w:val="00E27485"/>
    <w:rsid w:val="00E274E7"/>
    <w:rsid w:val="00E306FC"/>
    <w:rsid w:val="00E311C1"/>
    <w:rsid w:val="00E312F8"/>
    <w:rsid w:val="00E314E8"/>
    <w:rsid w:val="00E315A3"/>
    <w:rsid w:val="00E32073"/>
    <w:rsid w:val="00E3231B"/>
    <w:rsid w:val="00E33E82"/>
    <w:rsid w:val="00E346D4"/>
    <w:rsid w:val="00E35164"/>
    <w:rsid w:val="00E3736F"/>
    <w:rsid w:val="00E40721"/>
    <w:rsid w:val="00E40E7E"/>
    <w:rsid w:val="00E41790"/>
    <w:rsid w:val="00E41AB4"/>
    <w:rsid w:val="00E41D54"/>
    <w:rsid w:val="00E45C6A"/>
    <w:rsid w:val="00E46ED4"/>
    <w:rsid w:val="00E47E30"/>
    <w:rsid w:val="00E5125C"/>
    <w:rsid w:val="00E514B5"/>
    <w:rsid w:val="00E51ED5"/>
    <w:rsid w:val="00E53332"/>
    <w:rsid w:val="00E5347E"/>
    <w:rsid w:val="00E541B4"/>
    <w:rsid w:val="00E546C8"/>
    <w:rsid w:val="00E54840"/>
    <w:rsid w:val="00E54941"/>
    <w:rsid w:val="00E54C7C"/>
    <w:rsid w:val="00E555A7"/>
    <w:rsid w:val="00E5592D"/>
    <w:rsid w:val="00E57038"/>
    <w:rsid w:val="00E578AA"/>
    <w:rsid w:val="00E6109D"/>
    <w:rsid w:val="00E61589"/>
    <w:rsid w:val="00E616CE"/>
    <w:rsid w:val="00E61F79"/>
    <w:rsid w:val="00E6227A"/>
    <w:rsid w:val="00E62D7B"/>
    <w:rsid w:val="00E633FF"/>
    <w:rsid w:val="00E638C1"/>
    <w:rsid w:val="00E658ED"/>
    <w:rsid w:val="00E6733C"/>
    <w:rsid w:val="00E67592"/>
    <w:rsid w:val="00E6766F"/>
    <w:rsid w:val="00E713D5"/>
    <w:rsid w:val="00E725AA"/>
    <w:rsid w:val="00E72EF8"/>
    <w:rsid w:val="00E745E8"/>
    <w:rsid w:val="00E746A0"/>
    <w:rsid w:val="00E749DE"/>
    <w:rsid w:val="00E74A42"/>
    <w:rsid w:val="00E80B0B"/>
    <w:rsid w:val="00E83A08"/>
    <w:rsid w:val="00E83CDA"/>
    <w:rsid w:val="00E87234"/>
    <w:rsid w:val="00E904B5"/>
    <w:rsid w:val="00E90F85"/>
    <w:rsid w:val="00E9216E"/>
    <w:rsid w:val="00E939BB"/>
    <w:rsid w:val="00E939DF"/>
    <w:rsid w:val="00E95807"/>
    <w:rsid w:val="00EA052C"/>
    <w:rsid w:val="00EA0B60"/>
    <w:rsid w:val="00EA2AED"/>
    <w:rsid w:val="00EA300F"/>
    <w:rsid w:val="00EA5DE0"/>
    <w:rsid w:val="00EA60FA"/>
    <w:rsid w:val="00EA6A50"/>
    <w:rsid w:val="00EA6A77"/>
    <w:rsid w:val="00EA76ED"/>
    <w:rsid w:val="00EA7B20"/>
    <w:rsid w:val="00EA7CB6"/>
    <w:rsid w:val="00EA7FAC"/>
    <w:rsid w:val="00EB0CB0"/>
    <w:rsid w:val="00EB158A"/>
    <w:rsid w:val="00EB2115"/>
    <w:rsid w:val="00EB2830"/>
    <w:rsid w:val="00EB2FD6"/>
    <w:rsid w:val="00EB3E4B"/>
    <w:rsid w:val="00EB411A"/>
    <w:rsid w:val="00EB4D12"/>
    <w:rsid w:val="00EB4DE4"/>
    <w:rsid w:val="00EB55F8"/>
    <w:rsid w:val="00EB65E2"/>
    <w:rsid w:val="00EB6CC2"/>
    <w:rsid w:val="00EB6E15"/>
    <w:rsid w:val="00EB7450"/>
    <w:rsid w:val="00EC02C9"/>
    <w:rsid w:val="00EC26B2"/>
    <w:rsid w:val="00EC2A1E"/>
    <w:rsid w:val="00EC396E"/>
    <w:rsid w:val="00EC539C"/>
    <w:rsid w:val="00EC5487"/>
    <w:rsid w:val="00EC5A84"/>
    <w:rsid w:val="00EC5C34"/>
    <w:rsid w:val="00EC6E5C"/>
    <w:rsid w:val="00EC75E4"/>
    <w:rsid w:val="00EC7B1C"/>
    <w:rsid w:val="00EC7CC0"/>
    <w:rsid w:val="00EC7DC1"/>
    <w:rsid w:val="00ED011B"/>
    <w:rsid w:val="00ED06F8"/>
    <w:rsid w:val="00ED1DF7"/>
    <w:rsid w:val="00ED2426"/>
    <w:rsid w:val="00ED272C"/>
    <w:rsid w:val="00ED2E3F"/>
    <w:rsid w:val="00ED2FE6"/>
    <w:rsid w:val="00ED3AFB"/>
    <w:rsid w:val="00ED458B"/>
    <w:rsid w:val="00ED566C"/>
    <w:rsid w:val="00ED6F79"/>
    <w:rsid w:val="00EE0625"/>
    <w:rsid w:val="00EE09A8"/>
    <w:rsid w:val="00EE0EA9"/>
    <w:rsid w:val="00EE1E17"/>
    <w:rsid w:val="00EE21C0"/>
    <w:rsid w:val="00EE24D0"/>
    <w:rsid w:val="00EE2BF9"/>
    <w:rsid w:val="00EE3912"/>
    <w:rsid w:val="00EE3A21"/>
    <w:rsid w:val="00EE3A9E"/>
    <w:rsid w:val="00EE3E5A"/>
    <w:rsid w:val="00EE44F2"/>
    <w:rsid w:val="00EE59A6"/>
    <w:rsid w:val="00EE5EEC"/>
    <w:rsid w:val="00EE6055"/>
    <w:rsid w:val="00EE64B1"/>
    <w:rsid w:val="00EF088C"/>
    <w:rsid w:val="00EF2937"/>
    <w:rsid w:val="00EF297C"/>
    <w:rsid w:val="00EF334E"/>
    <w:rsid w:val="00EF36DF"/>
    <w:rsid w:val="00EF3E06"/>
    <w:rsid w:val="00EF5120"/>
    <w:rsid w:val="00EF62C7"/>
    <w:rsid w:val="00EF6859"/>
    <w:rsid w:val="00EF6B58"/>
    <w:rsid w:val="00F0084E"/>
    <w:rsid w:val="00F009B9"/>
    <w:rsid w:val="00F00EE1"/>
    <w:rsid w:val="00F024C6"/>
    <w:rsid w:val="00F02901"/>
    <w:rsid w:val="00F02B15"/>
    <w:rsid w:val="00F02D05"/>
    <w:rsid w:val="00F03EDE"/>
    <w:rsid w:val="00F04816"/>
    <w:rsid w:val="00F05B11"/>
    <w:rsid w:val="00F0652D"/>
    <w:rsid w:val="00F065F6"/>
    <w:rsid w:val="00F07382"/>
    <w:rsid w:val="00F10439"/>
    <w:rsid w:val="00F10F4A"/>
    <w:rsid w:val="00F11868"/>
    <w:rsid w:val="00F127F9"/>
    <w:rsid w:val="00F12CB4"/>
    <w:rsid w:val="00F13086"/>
    <w:rsid w:val="00F14AA0"/>
    <w:rsid w:val="00F1535D"/>
    <w:rsid w:val="00F1620E"/>
    <w:rsid w:val="00F164CA"/>
    <w:rsid w:val="00F20636"/>
    <w:rsid w:val="00F20B9E"/>
    <w:rsid w:val="00F22FF6"/>
    <w:rsid w:val="00F23007"/>
    <w:rsid w:val="00F230FC"/>
    <w:rsid w:val="00F23A21"/>
    <w:rsid w:val="00F24B80"/>
    <w:rsid w:val="00F25BEA"/>
    <w:rsid w:val="00F25E5E"/>
    <w:rsid w:val="00F26CB2"/>
    <w:rsid w:val="00F27062"/>
    <w:rsid w:val="00F27588"/>
    <w:rsid w:val="00F301BB"/>
    <w:rsid w:val="00F317B1"/>
    <w:rsid w:val="00F327C6"/>
    <w:rsid w:val="00F32F48"/>
    <w:rsid w:val="00F334E0"/>
    <w:rsid w:val="00F341B0"/>
    <w:rsid w:val="00F35098"/>
    <w:rsid w:val="00F36686"/>
    <w:rsid w:val="00F376BF"/>
    <w:rsid w:val="00F40EE8"/>
    <w:rsid w:val="00F418DE"/>
    <w:rsid w:val="00F4295A"/>
    <w:rsid w:val="00F4439E"/>
    <w:rsid w:val="00F44FD0"/>
    <w:rsid w:val="00F45384"/>
    <w:rsid w:val="00F46981"/>
    <w:rsid w:val="00F47C9A"/>
    <w:rsid w:val="00F5010F"/>
    <w:rsid w:val="00F50683"/>
    <w:rsid w:val="00F50BF1"/>
    <w:rsid w:val="00F50D85"/>
    <w:rsid w:val="00F51032"/>
    <w:rsid w:val="00F51C25"/>
    <w:rsid w:val="00F53788"/>
    <w:rsid w:val="00F54112"/>
    <w:rsid w:val="00F55382"/>
    <w:rsid w:val="00F56525"/>
    <w:rsid w:val="00F6152F"/>
    <w:rsid w:val="00F63654"/>
    <w:rsid w:val="00F641B2"/>
    <w:rsid w:val="00F64BA2"/>
    <w:rsid w:val="00F64CF4"/>
    <w:rsid w:val="00F6533F"/>
    <w:rsid w:val="00F65B28"/>
    <w:rsid w:val="00F65BDF"/>
    <w:rsid w:val="00F66921"/>
    <w:rsid w:val="00F66B23"/>
    <w:rsid w:val="00F67750"/>
    <w:rsid w:val="00F706AE"/>
    <w:rsid w:val="00F70B56"/>
    <w:rsid w:val="00F70F90"/>
    <w:rsid w:val="00F72795"/>
    <w:rsid w:val="00F72E67"/>
    <w:rsid w:val="00F72FB4"/>
    <w:rsid w:val="00F73908"/>
    <w:rsid w:val="00F73A99"/>
    <w:rsid w:val="00F746CD"/>
    <w:rsid w:val="00F7490C"/>
    <w:rsid w:val="00F74983"/>
    <w:rsid w:val="00F74B12"/>
    <w:rsid w:val="00F7506B"/>
    <w:rsid w:val="00F80035"/>
    <w:rsid w:val="00F8109E"/>
    <w:rsid w:val="00F813F7"/>
    <w:rsid w:val="00F81C8E"/>
    <w:rsid w:val="00F81D0C"/>
    <w:rsid w:val="00F82288"/>
    <w:rsid w:val="00F83394"/>
    <w:rsid w:val="00F839AA"/>
    <w:rsid w:val="00F840EC"/>
    <w:rsid w:val="00F861D3"/>
    <w:rsid w:val="00F8662B"/>
    <w:rsid w:val="00F86775"/>
    <w:rsid w:val="00F87734"/>
    <w:rsid w:val="00F87D51"/>
    <w:rsid w:val="00F9111D"/>
    <w:rsid w:val="00F91758"/>
    <w:rsid w:val="00F920C6"/>
    <w:rsid w:val="00F9298C"/>
    <w:rsid w:val="00F92D0E"/>
    <w:rsid w:val="00F92F21"/>
    <w:rsid w:val="00F92F6B"/>
    <w:rsid w:val="00F9369F"/>
    <w:rsid w:val="00F93F5B"/>
    <w:rsid w:val="00F94E53"/>
    <w:rsid w:val="00FA03D5"/>
    <w:rsid w:val="00FA1193"/>
    <w:rsid w:val="00FA1A53"/>
    <w:rsid w:val="00FA1F02"/>
    <w:rsid w:val="00FA2129"/>
    <w:rsid w:val="00FA3011"/>
    <w:rsid w:val="00FA379D"/>
    <w:rsid w:val="00FA3E48"/>
    <w:rsid w:val="00FA3FF5"/>
    <w:rsid w:val="00FA406A"/>
    <w:rsid w:val="00FA5DA0"/>
    <w:rsid w:val="00FA61C4"/>
    <w:rsid w:val="00FA64DE"/>
    <w:rsid w:val="00FA64E2"/>
    <w:rsid w:val="00FA6BC5"/>
    <w:rsid w:val="00FA752F"/>
    <w:rsid w:val="00FA7B25"/>
    <w:rsid w:val="00FA7D3B"/>
    <w:rsid w:val="00FB0758"/>
    <w:rsid w:val="00FB11C4"/>
    <w:rsid w:val="00FB18D8"/>
    <w:rsid w:val="00FB2EA7"/>
    <w:rsid w:val="00FB3704"/>
    <w:rsid w:val="00FB4387"/>
    <w:rsid w:val="00FB45C7"/>
    <w:rsid w:val="00FB45C8"/>
    <w:rsid w:val="00FB4F56"/>
    <w:rsid w:val="00FB580A"/>
    <w:rsid w:val="00FB6BEC"/>
    <w:rsid w:val="00FB6F3F"/>
    <w:rsid w:val="00FB72E5"/>
    <w:rsid w:val="00FB75F2"/>
    <w:rsid w:val="00FB7976"/>
    <w:rsid w:val="00FC0571"/>
    <w:rsid w:val="00FC0663"/>
    <w:rsid w:val="00FC087B"/>
    <w:rsid w:val="00FC087D"/>
    <w:rsid w:val="00FC1FC8"/>
    <w:rsid w:val="00FC220A"/>
    <w:rsid w:val="00FC2DB0"/>
    <w:rsid w:val="00FC2DB9"/>
    <w:rsid w:val="00FC37F1"/>
    <w:rsid w:val="00FC394A"/>
    <w:rsid w:val="00FC3955"/>
    <w:rsid w:val="00FC398B"/>
    <w:rsid w:val="00FC48C3"/>
    <w:rsid w:val="00FC5A2C"/>
    <w:rsid w:val="00FC7D69"/>
    <w:rsid w:val="00FD0491"/>
    <w:rsid w:val="00FD05D2"/>
    <w:rsid w:val="00FD1CF0"/>
    <w:rsid w:val="00FD2333"/>
    <w:rsid w:val="00FD24F5"/>
    <w:rsid w:val="00FD2A6B"/>
    <w:rsid w:val="00FD2DFB"/>
    <w:rsid w:val="00FD3E1D"/>
    <w:rsid w:val="00FD4586"/>
    <w:rsid w:val="00FD50B6"/>
    <w:rsid w:val="00FD573B"/>
    <w:rsid w:val="00FD7CE9"/>
    <w:rsid w:val="00FD7E8A"/>
    <w:rsid w:val="00FE046F"/>
    <w:rsid w:val="00FE19C3"/>
    <w:rsid w:val="00FE21BF"/>
    <w:rsid w:val="00FE316F"/>
    <w:rsid w:val="00FE4D17"/>
    <w:rsid w:val="00FE7403"/>
    <w:rsid w:val="00FE7571"/>
    <w:rsid w:val="00FF0D74"/>
    <w:rsid w:val="00FF0E4B"/>
    <w:rsid w:val="00FF1AA9"/>
    <w:rsid w:val="00FF1FDE"/>
    <w:rsid w:val="00FF2D98"/>
    <w:rsid w:val="00FF4993"/>
    <w:rsid w:val="00FF4BDE"/>
    <w:rsid w:val="00FF5134"/>
    <w:rsid w:val="00FF5791"/>
    <w:rsid w:val="00FF58DD"/>
    <w:rsid w:val="00FF5B94"/>
    <w:rsid w:val="00FF60F8"/>
    <w:rsid w:val="00FF7A36"/>
    <w:rsid w:val="00FF7B33"/>
    <w:rsid w:val="01557003"/>
    <w:rsid w:val="01A61472"/>
    <w:rsid w:val="020F62A3"/>
    <w:rsid w:val="05F2566A"/>
    <w:rsid w:val="06E17719"/>
    <w:rsid w:val="08632673"/>
    <w:rsid w:val="08C55D63"/>
    <w:rsid w:val="09D4024E"/>
    <w:rsid w:val="0D5A6E00"/>
    <w:rsid w:val="0EB64A41"/>
    <w:rsid w:val="0F435EAD"/>
    <w:rsid w:val="0FC81D84"/>
    <w:rsid w:val="10204D46"/>
    <w:rsid w:val="11524191"/>
    <w:rsid w:val="13552097"/>
    <w:rsid w:val="147E0937"/>
    <w:rsid w:val="17EC56CB"/>
    <w:rsid w:val="18A02C67"/>
    <w:rsid w:val="18E02DEE"/>
    <w:rsid w:val="1A516401"/>
    <w:rsid w:val="1BE94AE7"/>
    <w:rsid w:val="1C121B5F"/>
    <w:rsid w:val="1EA933CB"/>
    <w:rsid w:val="20041550"/>
    <w:rsid w:val="21833F88"/>
    <w:rsid w:val="22234BC2"/>
    <w:rsid w:val="2306178F"/>
    <w:rsid w:val="23314907"/>
    <w:rsid w:val="237E3491"/>
    <w:rsid w:val="25696D0B"/>
    <w:rsid w:val="25CD046B"/>
    <w:rsid w:val="260F4EA2"/>
    <w:rsid w:val="27C16C30"/>
    <w:rsid w:val="28067F14"/>
    <w:rsid w:val="28546F78"/>
    <w:rsid w:val="2856510A"/>
    <w:rsid w:val="286B773C"/>
    <w:rsid w:val="2A4E1620"/>
    <w:rsid w:val="2B014671"/>
    <w:rsid w:val="2B16061F"/>
    <w:rsid w:val="2C557F8B"/>
    <w:rsid w:val="2CDB683C"/>
    <w:rsid w:val="308D7C41"/>
    <w:rsid w:val="3185341B"/>
    <w:rsid w:val="32DF03B4"/>
    <w:rsid w:val="331A28B9"/>
    <w:rsid w:val="33653315"/>
    <w:rsid w:val="33A41922"/>
    <w:rsid w:val="33E96577"/>
    <w:rsid w:val="369817FA"/>
    <w:rsid w:val="36F73446"/>
    <w:rsid w:val="37686BD0"/>
    <w:rsid w:val="39817AD7"/>
    <w:rsid w:val="3A7941C8"/>
    <w:rsid w:val="3AD87847"/>
    <w:rsid w:val="3C8D3110"/>
    <w:rsid w:val="3E860A7C"/>
    <w:rsid w:val="40724992"/>
    <w:rsid w:val="40DF6264"/>
    <w:rsid w:val="439B680F"/>
    <w:rsid w:val="442F1579"/>
    <w:rsid w:val="47FF4F75"/>
    <w:rsid w:val="486F0FE9"/>
    <w:rsid w:val="4BA81516"/>
    <w:rsid w:val="4CE623F6"/>
    <w:rsid w:val="4ED92B46"/>
    <w:rsid w:val="4F221B98"/>
    <w:rsid w:val="4F5C1884"/>
    <w:rsid w:val="509413D0"/>
    <w:rsid w:val="54435DFA"/>
    <w:rsid w:val="54D152BE"/>
    <w:rsid w:val="55AD6372"/>
    <w:rsid w:val="55BB04CC"/>
    <w:rsid w:val="571D0981"/>
    <w:rsid w:val="57885D8F"/>
    <w:rsid w:val="59612FAB"/>
    <w:rsid w:val="5A1C0EAD"/>
    <w:rsid w:val="5D4F0ECE"/>
    <w:rsid w:val="5E314D33"/>
    <w:rsid w:val="5E56377C"/>
    <w:rsid w:val="5F7079E4"/>
    <w:rsid w:val="5FFF6FE6"/>
    <w:rsid w:val="608B0B0D"/>
    <w:rsid w:val="61725EE9"/>
    <w:rsid w:val="619750FC"/>
    <w:rsid w:val="61B80C98"/>
    <w:rsid w:val="638914B1"/>
    <w:rsid w:val="69B4157E"/>
    <w:rsid w:val="6C0B01B4"/>
    <w:rsid w:val="6F96286D"/>
    <w:rsid w:val="709D5A7E"/>
    <w:rsid w:val="70EB7E82"/>
    <w:rsid w:val="75363AA4"/>
    <w:rsid w:val="770371F1"/>
    <w:rsid w:val="78464E8C"/>
    <w:rsid w:val="78CE2999"/>
    <w:rsid w:val="7A4D600D"/>
    <w:rsid w:val="7CC72E43"/>
    <w:rsid w:val="7DD677ED"/>
    <w:rsid w:val="7EA32930"/>
    <w:rsid w:val="7EFF7286"/>
    <w:rsid w:val="7FC25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99" w:name="Normal Indent"/>
    <w:lsdException w:uiPriority="99" w:name="footnote text"/>
    <w:lsdException w:qFormat="1"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72" w:line="249" w:lineRule="auto"/>
      <w:ind w:left="218" w:hanging="10"/>
    </w:pPr>
    <w:rPr>
      <w:rFonts w:ascii="仿宋" w:hAnsi="仿宋" w:eastAsia="仿宋" w:cs="仿宋"/>
      <w:color w:val="000000"/>
      <w:kern w:val="2"/>
      <w:sz w:val="24"/>
      <w:szCs w:val="22"/>
      <w:lang w:val="en-US" w:eastAsia="zh-CN" w:bidi="ar-SA"/>
    </w:rPr>
  </w:style>
  <w:style w:type="paragraph" w:styleId="2">
    <w:name w:val="heading 1"/>
    <w:basedOn w:val="1"/>
    <w:next w:val="1"/>
    <w:link w:val="38"/>
    <w:qFormat/>
    <w:uiPriority w:val="0"/>
    <w:pPr>
      <w:keepNext/>
      <w:keepLines/>
      <w:spacing w:after="326" w:line="259" w:lineRule="auto"/>
      <w:ind w:left="95"/>
      <w:jc w:val="center"/>
      <w:outlineLvl w:val="0"/>
    </w:pPr>
    <w:rPr>
      <w:rFonts w:ascii="宋体" w:hAnsi="宋体" w:eastAsia="宋体" w:cs="Times New Roman"/>
      <w:kern w:val="0"/>
      <w:sz w:val="36"/>
      <w:szCs w:val="20"/>
    </w:rPr>
  </w:style>
  <w:style w:type="paragraph" w:styleId="3">
    <w:name w:val="heading 2"/>
    <w:basedOn w:val="1"/>
    <w:next w:val="1"/>
    <w:link w:val="39"/>
    <w:qFormat/>
    <w:uiPriority w:val="0"/>
    <w:pPr>
      <w:keepNext/>
      <w:keepLines/>
      <w:spacing w:after="0" w:line="259" w:lineRule="auto"/>
      <w:outlineLvl w:val="1"/>
    </w:pPr>
    <w:rPr>
      <w:sz w:val="22"/>
    </w:rPr>
  </w:style>
  <w:style w:type="paragraph" w:styleId="4">
    <w:name w:val="heading 3"/>
    <w:basedOn w:val="1"/>
    <w:next w:val="1"/>
    <w:link w:val="40"/>
    <w:qFormat/>
    <w:uiPriority w:val="0"/>
    <w:pPr>
      <w:keepNext/>
      <w:keepLines/>
      <w:spacing w:after="326" w:line="259" w:lineRule="auto"/>
      <w:ind w:left="95"/>
      <w:jc w:val="center"/>
      <w:outlineLvl w:val="2"/>
    </w:pPr>
    <w:rPr>
      <w:rFonts w:ascii="宋体" w:hAnsi="Times New Roman" w:eastAsia="宋体" w:cs="宋体"/>
      <w:sz w:val="22"/>
    </w:rPr>
  </w:style>
  <w:style w:type="paragraph" w:styleId="5">
    <w:name w:val="heading 4"/>
    <w:basedOn w:val="1"/>
    <w:next w:val="1"/>
    <w:link w:val="41"/>
    <w:qFormat/>
    <w:uiPriority w:val="0"/>
    <w:pPr>
      <w:keepNext/>
      <w:keepLines/>
      <w:spacing w:before="280" w:after="290" w:line="376" w:lineRule="auto"/>
      <w:outlineLvl w:val="3"/>
    </w:pPr>
    <w:rPr>
      <w:rFonts w:ascii="等线 Light" w:hAnsi="等线 Light" w:eastAsia="等线 Light" w:cs="Times New Roman"/>
      <w:b/>
      <w:bCs/>
      <w:kern w:val="0"/>
      <w:sz w:val="28"/>
      <w:szCs w:val="28"/>
    </w:rPr>
  </w:style>
  <w:style w:type="paragraph" w:styleId="6">
    <w:name w:val="heading 5"/>
    <w:basedOn w:val="1"/>
    <w:next w:val="1"/>
    <w:link w:val="42"/>
    <w:qFormat/>
    <w:uiPriority w:val="0"/>
    <w:pPr>
      <w:keepNext/>
      <w:keepLines/>
      <w:spacing w:before="280" w:after="290" w:line="376" w:lineRule="auto"/>
      <w:outlineLvl w:val="4"/>
    </w:pPr>
    <w:rPr>
      <w:rFonts w:cs="Times New Roman"/>
      <w:b/>
      <w:bCs/>
      <w:kern w:val="0"/>
      <w:sz w:val="28"/>
      <w:szCs w:val="28"/>
    </w:rPr>
  </w:style>
  <w:style w:type="paragraph" w:styleId="7">
    <w:name w:val="heading 6"/>
    <w:basedOn w:val="1"/>
    <w:next w:val="1"/>
    <w:link w:val="43"/>
    <w:qFormat/>
    <w:uiPriority w:val="0"/>
    <w:pPr>
      <w:keepNext/>
      <w:keepLines/>
      <w:spacing w:before="240" w:after="64" w:line="320" w:lineRule="auto"/>
      <w:outlineLvl w:val="5"/>
    </w:pPr>
    <w:rPr>
      <w:rFonts w:ascii="等线 Light" w:hAnsi="等线 Light" w:eastAsia="等线 Light" w:cs="Times New Roman"/>
      <w:b/>
      <w:bCs/>
      <w:kern w:val="0"/>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qFormat/>
    <w:uiPriority w:val="39"/>
    <w:pPr>
      <w:spacing w:after="0"/>
      <w:ind w:left="1440"/>
    </w:pPr>
    <w:rPr>
      <w:rFonts w:ascii="等线" w:eastAsia="等线"/>
      <w:sz w:val="18"/>
      <w:szCs w:val="18"/>
    </w:rPr>
  </w:style>
  <w:style w:type="paragraph" w:styleId="9">
    <w:name w:val="Document Map"/>
    <w:basedOn w:val="1"/>
    <w:link w:val="44"/>
    <w:semiHidden/>
    <w:qFormat/>
    <w:uiPriority w:val="0"/>
    <w:pPr>
      <w:shd w:val="clear" w:color="auto" w:fill="000080"/>
    </w:pPr>
    <w:rPr>
      <w:rFonts w:ascii="宋体" w:eastAsia="宋体" w:cs="Times New Roman"/>
      <w:kern w:val="0"/>
      <w:sz w:val="18"/>
      <w:szCs w:val="18"/>
    </w:rPr>
  </w:style>
  <w:style w:type="paragraph" w:styleId="10">
    <w:name w:val="annotation text"/>
    <w:basedOn w:val="1"/>
    <w:link w:val="45"/>
    <w:unhideWhenUsed/>
    <w:qFormat/>
    <w:uiPriority w:val="0"/>
    <w:rPr>
      <w:rFonts w:cs="Times New Roman"/>
      <w:kern w:val="0"/>
      <w:sz w:val="22"/>
    </w:rPr>
  </w:style>
  <w:style w:type="paragraph" w:styleId="11">
    <w:name w:val="Body Text"/>
    <w:basedOn w:val="1"/>
    <w:link w:val="46"/>
    <w:qFormat/>
    <w:uiPriority w:val="0"/>
    <w:pPr>
      <w:spacing w:after="120"/>
    </w:pPr>
    <w:rPr>
      <w:rFonts w:cs="Times New Roman"/>
      <w:kern w:val="0"/>
      <w:szCs w:val="20"/>
    </w:rPr>
  </w:style>
  <w:style w:type="paragraph" w:styleId="12">
    <w:name w:val="toc 5"/>
    <w:basedOn w:val="1"/>
    <w:next w:val="1"/>
    <w:qFormat/>
    <w:uiPriority w:val="39"/>
    <w:pPr>
      <w:spacing w:after="0"/>
      <w:ind w:left="960"/>
    </w:pPr>
    <w:rPr>
      <w:rFonts w:ascii="等线" w:eastAsia="等线"/>
      <w:sz w:val="18"/>
      <w:szCs w:val="18"/>
    </w:rPr>
  </w:style>
  <w:style w:type="paragraph" w:styleId="13">
    <w:name w:val="toc 3"/>
    <w:basedOn w:val="1"/>
    <w:next w:val="1"/>
    <w:qFormat/>
    <w:uiPriority w:val="39"/>
    <w:pPr>
      <w:spacing w:after="0"/>
      <w:ind w:left="480"/>
    </w:pPr>
    <w:rPr>
      <w:rFonts w:ascii="等线" w:eastAsia="等线"/>
      <w:i/>
      <w:iCs/>
      <w:sz w:val="20"/>
      <w:szCs w:val="20"/>
    </w:rPr>
  </w:style>
  <w:style w:type="paragraph" w:styleId="14">
    <w:name w:val="Plain Text"/>
    <w:basedOn w:val="1"/>
    <w:link w:val="47"/>
    <w:qFormat/>
    <w:uiPriority w:val="0"/>
    <w:pPr>
      <w:widowControl w:val="0"/>
      <w:spacing w:after="0" w:line="240" w:lineRule="auto"/>
      <w:ind w:left="0" w:firstLine="0"/>
      <w:jc w:val="both"/>
    </w:pPr>
    <w:rPr>
      <w:rFonts w:ascii="宋体" w:hAnsi="Courier New" w:eastAsia="宋体" w:cs="Courier New"/>
      <w:color w:val="auto"/>
      <w:sz w:val="28"/>
      <w:szCs w:val="21"/>
    </w:rPr>
  </w:style>
  <w:style w:type="paragraph" w:styleId="15">
    <w:name w:val="toc 8"/>
    <w:basedOn w:val="1"/>
    <w:next w:val="1"/>
    <w:qFormat/>
    <w:uiPriority w:val="39"/>
    <w:pPr>
      <w:spacing w:after="0"/>
      <w:ind w:left="1680"/>
    </w:pPr>
    <w:rPr>
      <w:rFonts w:ascii="等线" w:eastAsia="等线"/>
      <w:sz w:val="18"/>
      <w:szCs w:val="18"/>
    </w:rPr>
  </w:style>
  <w:style w:type="paragraph" w:styleId="16">
    <w:name w:val="Date"/>
    <w:basedOn w:val="1"/>
    <w:next w:val="1"/>
    <w:link w:val="48"/>
    <w:qFormat/>
    <w:uiPriority w:val="99"/>
    <w:pPr>
      <w:ind w:left="100" w:leftChars="2500"/>
    </w:pPr>
    <w:rPr>
      <w:rFonts w:cs="Times New Roman"/>
      <w:kern w:val="0"/>
      <w:szCs w:val="20"/>
    </w:rPr>
  </w:style>
  <w:style w:type="paragraph" w:styleId="17">
    <w:name w:val="Balloon Text"/>
    <w:basedOn w:val="1"/>
    <w:link w:val="49"/>
    <w:qFormat/>
    <w:uiPriority w:val="0"/>
    <w:pPr>
      <w:spacing w:after="0" w:line="240" w:lineRule="auto"/>
    </w:pPr>
    <w:rPr>
      <w:rFonts w:cs="Times New Roman"/>
      <w:kern w:val="0"/>
      <w:sz w:val="18"/>
      <w:szCs w:val="18"/>
    </w:rPr>
  </w:style>
  <w:style w:type="paragraph" w:styleId="18">
    <w:name w:val="footer"/>
    <w:basedOn w:val="1"/>
    <w:link w:val="50"/>
    <w:qFormat/>
    <w:uiPriority w:val="0"/>
    <w:pPr>
      <w:tabs>
        <w:tab w:val="center" w:pos="4153"/>
        <w:tab w:val="right" w:pos="8306"/>
      </w:tabs>
      <w:snapToGrid w:val="0"/>
      <w:spacing w:line="240" w:lineRule="auto"/>
    </w:pPr>
    <w:rPr>
      <w:rFonts w:ascii="Times New Roman" w:hAnsi="Times New Roman" w:eastAsia="宋体" w:cs="Times New Roman"/>
      <w:color w:val="auto"/>
      <w:kern w:val="0"/>
      <w:sz w:val="18"/>
      <w:szCs w:val="18"/>
    </w:rPr>
  </w:style>
  <w:style w:type="paragraph" w:styleId="19">
    <w:name w:val="header"/>
    <w:basedOn w:val="1"/>
    <w:link w:val="51"/>
    <w:qFormat/>
    <w:uiPriority w:val="99"/>
    <w:pPr>
      <w:pBdr>
        <w:bottom w:val="single" w:color="auto" w:sz="6" w:space="1"/>
      </w:pBdr>
      <w:tabs>
        <w:tab w:val="center" w:pos="4153"/>
        <w:tab w:val="right" w:pos="8306"/>
      </w:tabs>
      <w:snapToGrid w:val="0"/>
      <w:spacing w:line="240" w:lineRule="auto"/>
      <w:jc w:val="center"/>
    </w:pPr>
    <w:rPr>
      <w:rFonts w:ascii="Times New Roman" w:hAnsi="Times New Roman" w:eastAsia="宋体" w:cs="Times New Roman"/>
      <w:color w:val="auto"/>
      <w:kern w:val="0"/>
      <w:sz w:val="18"/>
      <w:szCs w:val="18"/>
    </w:rPr>
  </w:style>
  <w:style w:type="paragraph" w:styleId="20">
    <w:name w:val="toc 1"/>
    <w:basedOn w:val="1"/>
    <w:next w:val="1"/>
    <w:qFormat/>
    <w:uiPriority w:val="39"/>
    <w:pPr>
      <w:spacing w:before="120" w:after="120"/>
      <w:ind w:left="0"/>
    </w:pPr>
    <w:rPr>
      <w:rFonts w:ascii="等线" w:eastAsia="等线"/>
      <w:b/>
      <w:bCs/>
      <w:caps/>
      <w:sz w:val="20"/>
      <w:szCs w:val="20"/>
    </w:rPr>
  </w:style>
  <w:style w:type="paragraph" w:styleId="21">
    <w:name w:val="toc 4"/>
    <w:basedOn w:val="1"/>
    <w:next w:val="1"/>
    <w:qFormat/>
    <w:uiPriority w:val="0"/>
    <w:pPr>
      <w:spacing w:after="0"/>
      <w:ind w:left="720"/>
    </w:pPr>
    <w:rPr>
      <w:rFonts w:ascii="等线" w:eastAsia="等线"/>
      <w:sz w:val="18"/>
      <w:szCs w:val="18"/>
    </w:rPr>
  </w:style>
  <w:style w:type="paragraph" w:styleId="22">
    <w:name w:val="Subtitle"/>
    <w:basedOn w:val="1"/>
    <w:next w:val="1"/>
    <w:link w:val="52"/>
    <w:qFormat/>
    <w:locked/>
    <w:uiPriority w:val="0"/>
    <w:pPr>
      <w:widowControl w:val="0"/>
      <w:spacing w:before="240" w:after="60" w:line="312" w:lineRule="auto"/>
      <w:ind w:left="0" w:firstLine="0"/>
      <w:jc w:val="center"/>
      <w:outlineLvl w:val="1"/>
    </w:pPr>
    <w:rPr>
      <w:rFonts w:ascii="Cambria" w:hAnsi="Cambria" w:eastAsia="宋体" w:cs="Times New Roman"/>
      <w:b/>
      <w:bCs/>
      <w:color w:val="auto"/>
      <w:kern w:val="28"/>
      <w:sz w:val="32"/>
      <w:szCs w:val="32"/>
    </w:rPr>
  </w:style>
  <w:style w:type="paragraph" w:styleId="23">
    <w:name w:val="toc 6"/>
    <w:basedOn w:val="1"/>
    <w:next w:val="1"/>
    <w:qFormat/>
    <w:uiPriority w:val="39"/>
    <w:pPr>
      <w:spacing w:after="0"/>
      <w:ind w:left="1200"/>
    </w:pPr>
    <w:rPr>
      <w:rFonts w:ascii="等线" w:eastAsia="等线"/>
      <w:sz w:val="18"/>
      <w:szCs w:val="18"/>
    </w:rPr>
  </w:style>
  <w:style w:type="paragraph" w:styleId="24">
    <w:name w:val="Body Text Indent 3"/>
    <w:basedOn w:val="1"/>
    <w:link w:val="53"/>
    <w:qFormat/>
    <w:uiPriority w:val="0"/>
    <w:pPr>
      <w:widowControl w:val="0"/>
      <w:spacing w:after="120" w:line="240" w:lineRule="auto"/>
      <w:ind w:left="420" w:leftChars="200" w:firstLine="0"/>
      <w:jc w:val="both"/>
    </w:pPr>
    <w:rPr>
      <w:rFonts w:ascii="Times New Roman" w:hAnsi="Times New Roman" w:eastAsia="宋体" w:cs="Times New Roman"/>
      <w:color w:val="auto"/>
      <w:kern w:val="0"/>
      <w:sz w:val="16"/>
      <w:szCs w:val="16"/>
    </w:rPr>
  </w:style>
  <w:style w:type="paragraph" w:styleId="25">
    <w:name w:val="toc 2"/>
    <w:basedOn w:val="1"/>
    <w:next w:val="1"/>
    <w:qFormat/>
    <w:uiPriority w:val="39"/>
    <w:pPr>
      <w:spacing w:after="0"/>
      <w:ind w:left="240"/>
    </w:pPr>
    <w:rPr>
      <w:rFonts w:ascii="等线" w:eastAsia="等线"/>
      <w:smallCaps/>
      <w:sz w:val="20"/>
      <w:szCs w:val="20"/>
    </w:rPr>
  </w:style>
  <w:style w:type="paragraph" w:styleId="26">
    <w:name w:val="toc 9"/>
    <w:basedOn w:val="1"/>
    <w:next w:val="1"/>
    <w:qFormat/>
    <w:uiPriority w:val="39"/>
    <w:pPr>
      <w:spacing w:after="0"/>
      <w:ind w:left="1920"/>
    </w:pPr>
    <w:rPr>
      <w:rFonts w:ascii="等线" w:eastAsia="等线"/>
      <w:sz w:val="18"/>
      <w:szCs w:val="18"/>
    </w:rPr>
  </w:style>
  <w:style w:type="paragraph" w:styleId="27">
    <w:name w:val="Normal (Web)"/>
    <w:basedOn w:val="1"/>
    <w:qFormat/>
    <w:uiPriority w:val="99"/>
    <w:pPr>
      <w:spacing w:before="100" w:beforeAutospacing="1" w:after="100" w:afterAutospacing="1" w:line="240" w:lineRule="auto"/>
      <w:ind w:left="0" w:firstLine="0"/>
    </w:pPr>
    <w:rPr>
      <w:rFonts w:ascii="宋体" w:hAnsi="宋体" w:eastAsia="等线" w:cs="宋体"/>
      <w:color w:val="auto"/>
      <w:kern w:val="0"/>
      <w:szCs w:val="24"/>
    </w:rPr>
  </w:style>
  <w:style w:type="paragraph" w:styleId="28">
    <w:name w:val="Title"/>
    <w:basedOn w:val="1"/>
    <w:next w:val="1"/>
    <w:link w:val="54"/>
    <w:qFormat/>
    <w:locked/>
    <w:uiPriority w:val="0"/>
    <w:pPr>
      <w:widowControl w:val="0"/>
      <w:spacing w:before="240" w:after="60" w:line="240" w:lineRule="auto"/>
      <w:ind w:left="0" w:firstLine="0"/>
      <w:jc w:val="center"/>
      <w:outlineLvl w:val="0"/>
    </w:pPr>
    <w:rPr>
      <w:rFonts w:ascii="Calibri Light" w:hAnsi="Calibri Light" w:eastAsia="宋体" w:cs="黑体"/>
      <w:b/>
      <w:bCs/>
      <w:color w:val="auto"/>
      <w:sz w:val="32"/>
      <w:szCs w:val="32"/>
    </w:rPr>
  </w:style>
  <w:style w:type="paragraph" w:styleId="29">
    <w:name w:val="annotation subject"/>
    <w:basedOn w:val="10"/>
    <w:next w:val="10"/>
    <w:link w:val="55"/>
    <w:semiHidden/>
    <w:unhideWhenUsed/>
    <w:qFormat/>
    <w:uiPriority w:val="99"/>
    <w:rPr>
      <w:b/>
      <w:bCs/>
    </w:rPr>
  </w:style>
  <w:style w:type="table" w:styleId="31">
    <w:name w:val="Table Grid"/>
    <w:basedOn w:val="3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qFormat/>
    <w:locked/>
    <w:uiPriority w:val="0"/>
    <w:rPr>
      <w:rFonts w:cs="Times New Roman"/>
      <w:b/>
      <w:bCs/>
    </w:rPr>
  </w:style>
  <w:style w:type="character" w:styleId="34">
    <w:name w:val="page number"/>
    <w:qFormat/>
    <w:uiPriority w:val="0"/>
    <w:rPr>
      <w:rFonts w:cs="Times New Roman"/>
    </w:rPr>
  </w:style>
  <w:style w:type="character" w:styleId="35">
    <w:name w:val="FollowedHyperlink"/>
    <w:basedOn w:val="32"/>
    <w:semiHidden/>
    <w:unhideWhenUsed/>
    <w:qFormat/>
    <w:uiPriority w:val="99"/>
    <w:rPr>
      <w:color w:val="800080"/>
      <w:u w:val="single"/>
    </w:rPr>
  </w:style>
  <w:style w:type="character" w:styleId="36">
    <w:name w:val="Hyperlink"/>
    <w:qFormat/>
    <w:uiPriority w:val="99"/>
    <w:rPr>
      <w:rFonts w:cs="Times New Roman"/>
      <w:color w:val="0000FF"/>
      <w:u w:val="single"/>
    </w:rPr>
  </w:style>
  <w:style w:type="character" w:styleId="37">
    <w:name w:val="annotation reference"/>
    <w:semiHidden/>
    <w:unhideWhenUsed/>
    <w:qFormat/>
    <w:uiPriority w:val="99"/>
    <w:rPr>
      <w:rFonts w:cs="Times New Roman"/>
      <w:sz w:val="21"/>
      <w:szCs w:val="21"/>
    </w:rPr>
  </w:style>
  <w:style w:type="character" w:customStyle="1" w:styleId="38">
    <w:name w:val="标题 1 Char"/>
    <w:link w:val="2"/>
    <w:qFormat/>
    <w:locked/>
    <w:uiPriority w:val="0"/>
    <w:rPr>
      <w:rFonts w:ascii="宋体" w:hAnsi="宋体" w:eastAsia="宋体" w:cs="宋体"/>
      <w:color w:val="000000"/>
      <w:sz w:val="36"/>
    </w:rPr>
  </w:style>
  <w:style w:type="character" w:customStyle="1" w:styleId="39">
    <w:name w:val="标题 2 Char"/>
    <w:link w:val="3"/>
    <w:qFormat/>
    <w:locked/>
    <w:uiPriority w:val="0"/>
    <w:rPr>
      <w:rFonts w:ascii="仿宋" w:hAnsi="仿宋" w:eastAsia="仿宋" w:cs="仿宋"/>
      <w:color w:val="000000"/>
      <w:kern w:val="2"/>
      <w:sz w:val="22"/>
      <w:szCs w:val="22"/>
      <w:lang w:val="en-US" w:eastAsia="zh-CN" w:bidi="ar-SA"/>
    </w:rPr>
  </w:style>
  <w:style w:type="character" w:customStyle="1" w:styleId="40">
    <w:name w:val="标题 3 Char"/>
    <w:link w:val="4"/>
    <w:qFormat/>
    <w:locked/>
    <w:uiPriority w:val="0"/>
    <w:rPr>
      <w:rFonts w:ascii="宋体" w:eastAsia="宋体" w:cs="宋体"/>
      <w:color w:val="000000"/>
      <w:kern w:val="2"/>
      <w:sz w:val="22"/>
      <w:szCs w:val="22"/>
      <w:lang w:val="en-US" w:eastAsia="zh-CN" w:bidi="ar-SA"/>
    </w:rPr>
  </w:style>
  <w:style w:type="character" w:customStyle="1" w:styleId="41">
    <w:name w:val="标题 4 Char"/>
    <w:link w:val="5"/>
    <w:qFormat/>
    <w:locked/>
    <w:uiPriority w:val="0"/>
    <w:rPr>
      <w:rFonts w:ascii="等线 Light" w:hAnsi="等线 Light" w:eastAsia="等线 Light" w:cs="Times New Roman"/>
      <w:b/>
      <w:bCs/>
      <w:color w:val="000000"/>
      <w:sz w:val="28"/>
      <w:szCs w:val="28"/>
    </w:rPr>
  </w:style>
  <w:style w:type="character" w:customStyle="1" w:styleId="42">
    <w:name w:val="标题 5 Char"/>
    <w:link w:val="6"/>
    <w:semiHidden/>
    <w:qFormat/>
    <w:locked/>
    <w:uiPriority w:val="0"/>
    <w:rPr>
      <w:rFonts w:ascii="仿宋" w:hAnsi="仿宋" w:eastAsia="仿宋" w:cs="仿宋"/>
      <w:b/>
      <w:bCs/>
      <w:color w:val="000000"/>
      <w:sz w:val="28"/>
      <w:szCs w:val="28"/>
    </w:rPr>
  </w:style>
  <w:style w:type="character" w:customStyle="1" w:styleId="43">
    <w:name w:val="标题 6 Char"/>
    <w:link w:val="7"/>
    <w:semiHidden/>
    <w:qFormat/>
    <w:locked/>
    <w:uiPriority w:val="0"/>
    <w:rPr>
      <w:rFonts w:ascii="等线 Light" w:hAnsi="等线 Light" w:eastAsia="等线 Light" w:cs="Times New Roman"/>
      <w:b/>
      <w:bCs/>
      <w:color w:val="000000"/>
      <w:sz w:val="24"/>
      <w:szCs w:val="24"/>
    </w:rPr>
  </w:style>
  <w:style w:type="character" w:customStyle="1" w:styleId="44">
    <w:name w:val="文档结构图 Char"/>
    <w:link w:val="9"/>
    <w:qFormat/>
    <w:locked/>
    <w:uiPriority w:val="0"/>
    <w:rPr>
      <w:rFonts w:ascii="宋体" w:hAnsi="仿宋" w:cs="仿宋"/>
      <w:color w:val="000000"/>
      <w:sz w:val="18"/>
      <w:szCs w:val="18"/>
    </w:rPr>
  </w:style>
  <w:style w:type="character" w:customStyle="1" w:styleId="45">
    <w:name w:val="批注文字 Char"/>
    <w:link w:val="10"/>
    <w:qFormat/>
    <w:locked/>
    <w:uiPriority w:val="0"/>
    <w:rPr>
      <w:rFonts w:ascii="仿宋" w:hAnsi="仿宋" w:eastAsia="仿宋" w:cs="仿宋"/>
      <w:color w:val="000000"/>
      <w:sz w:val="22"/>
      <w:szCs w:val="22"/>
    </w:rPr>
  </w:style>
  <w:style w:type="character" w:customStyle="1" w:styleId="46">
    <w:name w:val="正文文本 Char"/>
    <w:link w:val="11"/>
    <w:qFormat/>
    <w:locked/>
    <w:uiPriority w:val="0"/>
    <w:rPr>
      <w:rFonts w:ascii="仿宋" w:hAnsi="仿宋" w:eastAsia="仿宋" w:cs="仿宋"/>
      <w:color w:val="000000"/>
      <w:sz w:val="24"/>
    </w:rPr>
  </w:style>
  <w:style w:type="character" w:customStyle="1" w:styleId="47">
    <w:name w:val="纯文本 Char"/>
    <w:link w:val="14"/>
    <w:qFormat/>
    <w:uiPriority w:val="0"/>
    <w:rPr>
      <w:rFonts w:ascii="宋体" w:hAnsi="Courier New" w:cs="Courier New"/>
      <w:kern w:val="2"/>
      <w:sz w:val="28"/>
      <w:szCs w:val="21"/>
    </w:rPr>
  </w:style>
  <w:style w:type="character" w:customStyle="1" w:styleId="48">
    <w:name w:val="日期 Char"/>
    <w:link w:val="16"/>
    <w:qFormat/>
    <w:locked/>
    <w:uiPriority w:val="0"/>
    <w:rPr>
      <w:rFonts w:ascii="仿宋" w:hAnsi="仿宋" w:eastAsia="仿宋" w:cs="仿宋"/>
      <w:color w:val="000000"/>
      <w:sz w:val="24"/>
    </w:rPr>
  </w:style>
  <w:style w:type="character" w:customStyle="1" w:styleId="49">
    <w:name w:val="批注框文本 Char"/>
    <w:link w:val="17"/>
    <w:qFormat/>
    <w:locked/>
    <w:uiPriority w:val="0"/>
    <w:rPr>
      <w:rFonts w:ascii="仿宋" w:hAnsi="仿宋" w:eastAsia="仿宋" w:cs="仿宋"/>
      <w:color w:val="000000"/>
      <w:sz w:val="18"/>
      <w:szCs w:val="18"/>
    </w:rPr>
  </w:style>
  <w:style w:type="character" w:customStyle="1" w:styleId="50">
    <w:name w:val="页脚 Char"/>
    <w:link w:val="18"/>
    <w:qFormat/>
    <w:locked/>
    <w:uiPriority w:val="0"/>
    <w:rPr>
      <w:rFonts w:cs="Times New Roman"/>
      <w:sz w:val="18"/>
      <w:szCs w:val="18"/>
    </w:rPr>
  </w:style>
  <w:style w:type="character" w:customStyle="1" w:styleId="51">
    <w:name w:val="页眉 Char"/>
    <w:link w:val="19"/>
    <w:qFormat/>
    <w:locked/>
    <w:uiPriority w:val="99"/>
    <w:rPr>
      <w:rFonts w:cs="Times New Roman"/>
      <w:sz w:val="18"/>
      <w:szCs w:val="18"/>
    </w:rPr>
  </w:style>
  <w:style w:type="character" w:customStyle="1" w:styleId="52">
    <w:name w:val="副标题 Char"/>
    <w:link w:val="22"/>
    <w:qFormat/>
    <w:uiPriority w:val="0"/>
    <w:rPr>
      <w:rFonts w:ascii="Cambria" w:hAnsi="Cambria"/>
      <w:b/>
      <w:bCs/>
      <w:kern w:val="28"/>
      <w:sz w:val="32"/>
      <w:szCs w:val="32"/>
    </w:rPr>
  </w:style>
  <w:style w:type="character" w:customStyle="1" w:styleId="53">
    <w:name w:val="正文文本缩进 3 Char"/>
    <w:link w:val="24"/>
    <w:qFormat/>
    <w:locked/>
    <w:uiPriority w:val="0"/>
    <w:rPr>
      <w:rFonts w:ascii="Times New Roman" w:hAnsi="Times New Roman" w:eastAsia="宋体" w:cs="Times New Roman"/>
      <w:sz w:val="16"/>
      <w:szCs w:val="16"/>
    </w:rPr>
  </w:style>
  <w:style w:type="character" w:customStyle="1" w:styleId="54">
    <w:name w:val="标题 Char"/>
    <w:link w:val="28"/>
    <w:qFormat/>
    <w:uiPriority w:val="0"/>
    <w:rPr>
      <w:rFonts w:ascii="Calibri Light" w:hAnsi="Calibri Light" w:cs="黑体"/>
      <w:b/>
      <w:bCs/>
      <w:kern w:val="2"/>
      <w:sz w:val="32"/>
      <w:szCs w:val="32"/>
    </w:rPr>
  </w:style>
  <w:style w:type="character" w:customStyle="1" w:styleId="55">
    <w:name w:val="批注主题 Char"/>
    <w:link w:val="29"/>
    <w:qFormat/>
    <w:locked/>
    <w:uiPriority w:val="0"/>
    <w:rPr>
      <w:rFonts w:ascii="仿宋" w:hAnsi="仿宋" w:eastAsia="仿宋" w:cs="仿宋"/>
      <w:b/>
      <w:bCs/>
      <w:color w:val="000000"/>
      <w:sz w:val="22"/>
      <w:szCs w:val="22"/>
    </w:rPr>
  </w:style>
  <w:style w:type="paragraph" w:styleId="56">
    <w:name w:val="List Paragraph"/>
    <w:basedOn w:val="1"/>
    <w:qFormat/>
    <w:uiPriority w:val="99"/>
    <w:pPr>
      <w:ind w:firstLine="420" w:firstLineChars="200"/>
    </w:pPr>
  </w:style>
  <w:style w:type="paragraph" w:customStyle="1" w:styleId="57">
    <w:name w:val="Default"/>
    <w:qFormat/>
    <w:uiPriority w:val="0"/>
    <w:pPr>
      <w:widowControl w:val="0"/>
      <w:autoSpaceDE w:val="0"/>
      <w:autoSpaceDN w:val="0"/>
      <w:adjustRightInd w:val="0"/>
    </w:pPr>
    <w:rPr>
      <w:rFonts w:ascii="仿宋" w:hAnsi="仿宋" w:eastAsia="等线" w:cs="仿宋"/>
      <w:color w:val="000000"/>
      <w:sz w:val="24"/>
      <w:szCs w:val="24"/>
      <w:lang w:val="en-US" w:eastAsia="zh-CN" w:bidi="ar-SA"/>
    </w:rPr>
  </w:style>
  <w:style w:type="paragraph" w:customStyle="1" w:styleId="58">
    <w:name w:val="Table Paragraph"/>
    <w:basedOn w:val="1"/>
    <w:qFormat/>
    <w:uiPriority w:val="0"/>
    <w:pPr>
      <w:widowControl w:val="0"/>
      <w:spacing w:after="0" w:line="240" w:lineRule="auto"/>
      <w:ind w:left="0" w:firstLine="0"/>
    </w:pPr>
    <w:rPr>
      <w:rFonts w:ascii="等线" w:hAnsi="等线" w:eastAsia="等线" w:cs="Times New Roman"/>
      <w:color w:val="auto"/>
      <w:kern w:val="0"/>
      <w:sz w:val="22"/>
      <w:lang w:eastAsia="en-US"/>
    </w:rPr>
  </w:style>
  <w:style w:type="paragraph" w:customStyle="1" w:styleId="59">
    <w:name w:val="标题1（自）"/>
    <w:next w:val="1"/>
    <w:qFormat/>
    <w:uiPriority w:val="0"/>
    <w:pPr>
      <w:widowControl w:val="0"/>
      <w:spacing w:beforeLines="50" w:afterLines="50"/>
      <w:jc w:val="center"/>
      <w:outlineLvl w:val="0"/>
    </w:pPr>
    <w:rPr>
      <w:rFonts w:ascii="方正小标宋简体" w:hAnsi="方正小标宋简体" w:eastAsia="方正小标宋简体" w:cs="Times New Roman"/>
      <w:sz w:val="44"/>
      <w:szCs w:val="32"/>
      <w:lang w:val="en-US" w:eastAsia="zh-CN" w:bidi="ar-SA"/>
    </w:rPr>
  </w:style>
  <w:style w:type="paragraph" w:customStyle="1" w:styleId="60">
    <w:name w:val="正文（三号）"/>
    <w:qFormat/>
    <w:uiPriority w:val="0"/>
    <w:pPr>
      <w:widowControl w:val="0"/>
      <w:ind w:firstLine="880" w:firstLineChars="200"/>
      <w:jc w:val="both"/>
    </w:pPr>
    <w:rPr>
      <w:rFonts w:ascii="宋体" w:hAnsi="宋体" w:eastAsia="宋体" w:cs="Times New Roman"/>
      <w:sz w:val="28"/>
      <w:szCs w:val="32"/>
      <w:lang w:val="en-US" w:eastAsia="zh-CN" w:bidi="ar-SA"/>
    </w:rPr>
  </w:style>
  <w:style w:type="paragraph" w:customStyle="1" w:styleId="61">
    <w:name w:val="标题2（自）"/>
    <w:next w:val="60"/>
    <w:qFormat/>
    <w:uiPriority w:val="0"/>
    <w:pPr>
      <w:widowControl w:val="0"/>
      <w:spacing w:beforeLines="50" w:afterLines="50"/>
      <w:jc w:val="center"/>
      <w:outlineLvl w:val="1"/>
    </w:pPr>
    <w:rPr>
      <w:rFonts w:ascii="黑体" w:hAnsi="黑体" w:eastAsia="黑体" w:cs="Times New Roman"/>
      <w:b/>
      <w:sz w:val="32"/>
      <w:szCs w:val="32"/>
      <w:lang w:val="en-US" w:eastAsia="zh-CN" w:bidi="ar-SA"/>
    </w:rPr>
  </w:style>
  <w:style w:type="paragraph" w:customStyle="1" w:styleId="62">
    <w:name w:val="段"/>
    <w:link w:val="63"/>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character" w:customStyle="1" w:styleId="63">
    <w:name w:val="段 Char"/>
    <w:link w:val="62"/>
    <w:qFormat/>
    <w:locked/>
    <w:uiPriority w:val="0"/>
    <w:rPr>
      <w:rFonts w:ascii="宋体" w:eastAsia="Times New Roman"/>
      <w:sz w:val="21"/>
      <w:lang w:val="en-US" w:eastAsia="zh-CN" w:bidi="ar-SA"/>
    </w:rPr>
  </w:style>
  <w:style w:type="paragraph" w:customStyle="1" w:styleId="64">
    <w:name w:val="字母编号列项（一级）"/>
    <w:qFormat/>
    <w:uiPriority w:val="0"/>
    <w:pPr>
      <w:tabs>
        <w:tab w:val="left" w:pos="780"/>
        <w:tab w:val="left" w:pos="839"/>
      </w:tabs>
      <w:ind w:left="780" w:hanging="360"/>
      <w:jc w:val="both"/>
    </w:pPr>
    <w:rPr>
      <w:rFonts w:ascii="宋体" w:hAnsi="Times New Roman" w:eastAsia="宋体" w:cs="Times New Roman"/>
      <w:sz w:val="21"/>
      <w:lang w:val="en-US" w:eastAsia="zh-CN" w:bidi="ar-SA"/>
    </w:rPr>
  </w:style>
  <w:style w:type="paragraph" w:customStyle="1" w:styleId="65">
    <w:name w:val="数字编号列项（二级）"/>
    <w:qFormat/>
    <w:uiPriority w:val="0"/>
    <w:pPr>
      <w:tabs>
        <w:tab w:val="left" w:pos="780"/>
        <w:tab w:val="left" w:pos="1259"/>
      </w:tabs>
      <w:ind w:left="780" w:hanging="360"/>
      <w:jc w:val="both"/>
    </w:pPr>
    <w:rPr>
      <w:rFonts w:ascii="宋体" w:hAnsi="Times New Roman" w:eastAsia="宋体" w:cs="Times New Roman"/>
      <w:sz w:val="21"/>
      <w:lang w:val="en-US" w:eastAsia="zh-CN" w:bidi="ar-SA"/>
    </w:rPr>
  </w:style>
  <w:style w:type="paragraph" w:customStyle="1" w:styleId="66">
    <w:name w:val="三级条标题"/>
    <w:basedOn w:val="1"/>
    <w:next w:val="62"/>
    <w:qFormat/>
    <w:uiPriority w:val="0"/>
    <w:pPr>
      <w:tabs>
        <w:tab w:val="left" w:pos="1620"/>
      </w:tabs>
      <w:spacing w:beforeLines="50" w:afterLines="50" w:line="240" w:lineRule="auto"/>
      <w:ind w:left="0" w:hanging="360"/>
      <w:outlineLvl w:val="4"/>
    </w:pPr>
    <w:rPr>
      <w:rFonts w:ascii="黑体" w:hAnsi="Times New Roman" w:eastAsia="黑体" w:cs="Times New Roman"/>
      <w:color w:val="auto"/>
      <w:kern w:val="0"/>
      <w:sz w:val="21"/>
      <w:szCs w:val="21"/>
    </w:rPr>
  </w:style>
  <w:style w:type="paragraph" w:customStyle="1" w:styleId="67">
    <w:name w:val="二级条标题"/>
    <w:basedOn w:val="1"/>
    <w:next w:val="62"/>
    <w:qFormat/>
    <w:uiPriority w:val="0"/>
    <w:pPr>
      <w:tabs>
        <w:tab w:val="left" w:pos="1200"/>
      </w:tabs>
      <w:spacing w:beforeLines="50" w:afterLines="50" w:line="240" w:lineRule="auto"/>
      <w:ind w:left="1200" w:hanging="360"/>
      <w:outlineLvl w:val="3"/>
    </w:pPr>
    <w:rPr>
      <w:rFonts w:ascii="黑体" w:hAnsi="Times New Roman" w:eastAsia="黑体" w:cs="Times New Roman"/>
      <w:color w:val="auto"/>
      <w:kern w:val="0"/>
      <w:sz w:val="21"/>
      <w:szCs w:val="21"/>
    </w:rPr>
  </w:style>
  <w:style w:type="paragraph" w:customStyle="1" w:styleId="68">
    <w:name w:val="附录表标题"/>
    <w:basedOn w:val="1"/>
    <w:next w:val="62"/>
    <w:qFormat/>
    <w:uiPriority w:val="0"/>
    <w:pPr>
      <w:widowControl w:val="0"/>
      <w:spacing w:beforeLines="50" w:afterLines="50" w:line="240" w:lineRule="auto"/>
      <w:ind w:left="567" w:hanging="567"/>
      <w:jc w:val="center"/>
    </w:pPr>
    <w:rPr>
      <w:rFonts w:ascii="黑体" w:hAnsi="Times New Roman" w:eastAsia="黑体" w:cs="Times New Roman"/>
      <w:color w:val="auto"/>
      <w:sz w:val="21"/>
      <w:szCs w:val="21"/>
    </w:rPr>
  </w:style>
  <w:style w:type="paragraph" w:customStyle="1" w:styleId="69">
    <w:name w:val="列出段落1"/>
    <w:basedOn w:val="1"/>
    <w:qFormat/>
    <w:uiPriority w:val="0"/>
    <w:pPr>
      <w:ind w:firstLine="420" w:firstLineChars="200"/>
    </w:pPr>
  </w:style>
  <w:style w:type="paragraph" w:customStyle="1" w:styleId="70">
    <w:name w:val="_Style 62"/>
    <w:basedOn w:val="2"/>
    <w:next w:val="1"/>
    <w:semiHidden/>
    <w:unhideWhenUsed/>
    <w:qFormat/>
    <w:uiPriority w:val="39"/>
    <w:pPr>
      <w:spacing w:before="480" w:after="0" w:line="276" w:lineRule="auto"/>
      <w:ind w:left="0" w:firstLine="0"/>
      <w:jc w:val="left"/>
      <w:outlineLvl w:val="9"/>
    </w:pPr>
    <w:rPr>
      <w:rFonts w:ascii="Cambria" w:hAnsi="Cambria"/>
      <w:b/>
      <w:bCs/>
      <w:color w:val="365F91"/>
      <w:sz w:val="28"/>
      <w:szCs w:val="28"/>
    </w:rPr>
  </w:style>
  <w:style w:type="character" w:customStyle="1" w:styleId="71">
    <w:name w:val="正文文本 Char1"/>
    <w:semiHidden/>
    <w:qFormat/>
    <w:uiPriority w:val="99"/>
    <w:rPr>
      <w:rFonts w:ascii="仿宋" w:hAnsi="仿宋" w:eastAsia="仿宋" w:cs="仿宋"/>
      <w:color w:val="000000"/>
      <w:sz w:val="24"/>
      <w:szCs w:val="22"/>
    </w:rPr>
  </w:style>
  <w:style w:type="character" w:customStyle="1" w:styleId="72">
    <w:name w:val="正文文本 Char123"/>
    <w:semiHidden/>
    <w:qFormat/>
    <w:uiPriority w:val="99"/>
    <w:rPr>
      <w:rFonts w:ascii="仿宋" w:hAnsi="仿宋" w:eastAsia="仿宋" w:cs="仿宋"/>
      <w:color w:val="000000"/>
      <w:sz w:val="22"/>
      <w:szCs w:val="22"/>
    </w:rPr>
  </w:style>
  <w:style w:type="character" w:customStyle="1" w:styleId="73">
    <w:name w:val="正文文本 Char122"/>
    <w:semiHidden/>
    <w:qFormat/>
    <w:uiPriority w:val="99"/>
    <w:rPr>
      <w:rFonts w:ascii="仿宋" w:hAnsi="仿宋" w:eastAsia="仿宋" w:cs="仿宋"/>
      <w:color w:val="000000"/>
      <w:sz w:val="22"/>
      <w:szCs w:val="22"/>
    </w:rPr>
  </w:style>
  <w:style w:type="character" w:customStyle="1" w:styleId="74">
    <w:name w:val="正文文本 Char121"/>
    <w:semiHidden/>
    <w:qFormat/>
    <w:uiPriority w:val="99"/>
    <w:rPr>
      <w:rFonts w:ascii="仿宋" w:hAnsi="仿宋" w:eastAsia="仿宋" w:cs="仿宋"/>
      <w:color w:val="000000"/>
      <w:sz w:val="22"/>
      <w:szCs w:val="22"/>
    </w:rPr>
  </w:style>
  <w:style w:type="character" w:customStyle="1" w:styleId="75">
    <w:name w:val="正文文本 Char120"/>
    <w:semiHidden/>
    <w:qFormat/>
    <w:uiPriority w:val="99"/>
    <w:rPr>
      <w:rFonts w:ascii="仿宋" w:hAnsi="仿宋" w:eastAsia="仿宋" w:cs="仿宋"/>
      <w:color w:val="000000"/>
      <w:sz w:val="22"/>
      <w:szCs w:val="22"/>
    </w:rPr>
  </w:style>
  <w:style w:type="character" w:customStyle="1" w:styleId="76">
    <w:name w:val="正文文本 Char119"/>
    <w:semiHidden/>
    <w:qFormat/>
    <w:uiPriority w:val="99"/>
    <w:rPr>
      <w:rFonts w:ascii="仿宋" w:hAnsi="仿宋" w:eastAsia="仿宋" w:cs="仿宋"/>
      <w:color w:val="000000"/>
      <w:sz w:val="22"/>
      <w:szCs w:val="22"/>
    </w:rPr>
  </w:style>
  <w:style w:type="character" w:customStyle="1" w:styleId="77">
    <w:name w:val="正文文本 Char118"/>
    <w:semiHidden/>
    <w:qFormat/>
    <w:uiPriority w:val="99"/>
    <w:rPr>
      <w:rFonts w:ascii="仿宋" w:hAnsi="仿宋" w:eastAsia="仿宋" w:cs="仿宋"/>
      <w:color w:val="000000"/>
      <w:sz w:val="22"/>
      <w:szCs w:val="22"/>
    </w:rPr>
  </w:style>
  <w:style w:type="character" w:customStyle="1" w:styleId="78">
    <w:name w:val="正文文本 Char117"/>
    <w:semiHidden/>
    <w:qFormat/>
    <w:uiPriority w:val="99"/>
    <w:rPr>
      <w:rFonts w:ascii="仿宋" w:hAnsi="仿宋" w:eastAsia="仿宋" w:cs="仿宋"/>
      <w:color w:val="000000"/>
      <w:sz w:val="22"/>
      <w:szCs w:val="22"/>
    </w:rPr>
  </w:style>
  <w:style w:type="character" w:customStyle="1" w:styleId="79">
    <w:name w:val="正文文本 Char116"/>
    <w:semiHidden/>
    <w:qFormat/>
    <w:uiPriority w:val="99"/>
    <w:rPr>
      <w:rFonts w:ascii="仿宋" w:hAnsi="仿宋" w:eastAsia="仿宋" w:cs="仿宋"/>
      <w:color w:val="000000"/>
      <w:sz w:val="22"/>
      <w:szCs w:val="22"/>
    </w:rPr>
  </w:style>
  <w:style w:type="character" w:customStyle="1" w:styleId="80">
    <w:name w:val="正文文本 Char115"/>
    <w:semiHidden/>
    <w:qFormat/>
    <w:uiPriority w:val="99"/>
    <w:rPr>
      <w:rFonts w:ascii="仿宋" w:hAnsi="仿宋" w:eastAsia="仿宋" w:cs="仿宋"/>
      <w:color w:val="000000"/>
      <w:sz w:val="22"/>
      <w:szCs w:val="22"/>
    </w:rPr>
  </w:style>
  <w:style w:type="character" w:customStyle="1" w:styleId="81">
    <w:name w:val="正文文本 Char114"/>
    <w:semiHidden/>
    <w:qFormat/>
    <w:uiPriority w:val="99"/>
    <w:rPr>
      <w:rFonts w:ascii="仿宋" w:hAnsi="仿宋" w:eastAsia="仿宋" w:cs="仿宋"/>
      <w:color w:val="000000"/>
      <w:sz w:val="22"/>
      <w:szCs w:val="22"/>
    </w:rPr>
  </w:style>
  <w:style w:type="character" w:customStyle="1" w:styleId="82">
    <w:name w:val="正文文本 Char113"/>
    <w:semiHidden/>
    <w:qFormat/>
    <w:uiPriority w:val="99"/>
    <w:rPr>
      <w:rFonts w:ascii="仿宋" w:hAnsi="仿宋" w:eastAsia="仿宋" w:cs="仿宋"/>
      <w:color w:val="000000"/>
      <w:sz w:val="22"/>
      <w:szCs w:val="22"/>
    </w:rPr>
  </w:style>
  <w:style w:type="character" w:customStyle="1" w:styleId="83">
    <w:name w:val="正文文本 Char112"/>
    <w:semiHidden/>
    <w:qFormat/>
    <w:uiPriority w:val="99"/>
    <w:rPr>
      <w:rFonts w:ascii="仿宋" w:hAnsi="仿宋" w:eastAsia="仿宋" w:cs="仿宋"/>
      <w:color w:val="000000"/>
      <w:sz w:val="22"/>
      <w:szCs w:val="22"/>
    </w:rPr>
  </w:style>
  <w:style w:type="character" w:customStyle="1" w:styleId="84">
    <w:name w:val="正文文本 Char111"/>
    <w:semiHidden/>
    <w:qFormat/>
    <w:uiPriority w:val="99"/>
    <w:rPr>
      <w:rFonts w:ascii="仿宋" w:hAnsi="仿宋" w:eastAsia="仿宋" w:cs="仿宋"/>
      <w:color w:val="000000"/>
      <w:sz w:val="22"/>
      <w:szCs w:val="22"/>
    </w:rPr>
  </w:style>
  <w:style w:type="character" w:customStyle="1" w:styleId="85">
    <w:name w:val="正文文本 Char110"/>
    <w:semiHidden/>
    <w:qFormat/>
    <w:uiPriority w:val="99"/>
    <w:rPr>
      <w:rFonts w:ascii="仿宋" w:hAnsi="仿宋" w:eastAsia="仿宋" w:cs="仿宋"/>
      <w:color w:val="000000"/>
      <w:sz w:val="22"/>
      <w:szCs w:val="22"/>
    </w:rPr>
  </w:style>
  <w:style w:type="character" w:customStyle="1" w:styleId="86">
    <w:name w:val="正文文本 Char19"/>
    <w:semiHidden/>
    <w:qFormat/>
    <w:uiPriority w:val="99"/>
    <w:rPr>
      <w:rFonts w:ascii="仿宋" w:hAnsi="仿宋" w:eastAsia="仿宋" w:cs="仿宋"/>
      <w:color w:val="000000"/>
      <w:sz w:val="22"/>
      <w:szCs w:val="22"/>
    </w:rPr>
  </w:style>
  <w:style w:type="character" w:customStyle="1" w:styleId="87">
    <w:name w:val="正文文本 Char18"/>
    <w:semiHidden/>
    <w:qFormat/>
    <w:uiPriority w:val="99"/>
    <w:rPr>
      <w:rFonts w:ascii="仿宋" w:hAnsi="仿宋" w:eastAsia="仿宋" w:cs="仿宋"/>
      <w:color w:val="000000"/>
      <w:sz w:val="22"/>
      <w:szCs w:val="22"/>
    </w:rPr>
  </w:style>
  <w:style w:type="character" w:customStyle="1" w:styleId="88">
    <w:name w:val="正文文本 Char17"/>
    <w:semiHidden/>
    <w:qFormat/>
    <w:uiPriority w:val="99"/>
    <w:rPr>
      <w:rFonts w:ascii="仿宋" w:hAnsi="仿宋" w:eastAsia="仿宋" w:cs="仿宋"/>
      <w:color w:val="000000"/>
      <w:sz w:val="22"/>
      <w:szCs w:val="22"/>
    </w:rPr>
  </w:style>
  <w:style w:type="character" w:customStyle="1" w:styleId="89">
    <w:name w:val="正文文本 Char16"/>
    <w:semiHidden/>
    <w:qFormat/>
    <w:uiPriority w:val="99"/>
    <w:rPr>
      <w:rFonts w:ascii="仿宋" w:hAnsi="仿宋" w:eastAsia="仿宋" w:cs="仿宋"/>
      <w:color w:val="000000"/>
      <w:sz w:val="22"/>
      <w:szCs w:val="22"/>
    </w:rPr>
  </w:style>
  <w:style w:type="character" w:customStyle="1" w:styleId="90">
    <w:name w:val="正文文本 Char15"/>
    <w:semiHidden/>
    <w:qFormat/>
    <w:uiPriority w:val="99"/>
    <w:rPr>
      <w:rFonts w:ascii="仿宋" w:hAnsi="仿宋" w:eastAsia="仿宋" w:cs="仿宋"/>
      <w:color w:val="000000"/>
      <w:sz w:val="22"/>
      <w:szCs w:val="22"/>
    </w:rPr>
  </w:style>
  <w:style w:type="character" w:customStyle="1" w:styleId="91">
    <w:name w:val="正文文本 Char14"/>
    <w:semiHidden/>
    <w:qFormat/>
    <w:uiPriority w:val="99"/>
    <w:rPr>
      <w:rFonts w:ascii="仿宋" w:hAnsi="仿宋" w:eastAsia="仿宋" w:cs="仿宋"/>
      <w:color w:val="000000"/>
      <w:sz w:val="22"/>
      <w:szCs w:val="22"/>
    </w:rPr>
  </w:style>
  <w:style w:type="character" w:customStyle="1" w:styleId="92">
    <w:name w:val="正文文本 Char13"/>
    <w:semiHidden/>
    <w:qFormat/>
    <w:uiPriority w:val="99"/>
    <w:rPr>
      <w:rFonts w:ascii="仿宋" w:hAnsi="仿宋" w:eastAsia="仿宋" w:cs="仿宋"/>
      <w:color w:val="000000"/>
      <w:sz w:val="22"/>
      <w:szCs w:val="22"/>
    </w:rPr>
  </w:style>
  <w:style w:type="character" w:customStyle="1" w:styleId="93">
    <w:name w:val="正文文本 Char12"/>
    <w:semiHidden/>
    <w:qFormat/>
    <w:uiPriority w:val="99"/>
    <w:rPr>
      <w:rFonts w:ascii="仿宋" w:hAnsi="仿宋" w:eastAsia="仿宋" w:cs="仿宋"/>
      <w:color w:val="000000"/>
      <w:sz w:val="22"/>
      <w:szCs w:val="22"/>
    </w:rPr>
  </w:style>
  <w:style w:type="character" w:customStyle="1" w:styleId="94">
    <w:name w:val="正文文本 Char11"/>
    <w:semiHidden/>
    <w:qFormat/>
    <w:uiPriority w:val="99"/>
    <w:rPr>
      <w:rFonts w:ascii="仿宋" w:hAnsi="仿宋" w:eastAsia="仿宋" w:cs="仿宋"/>
      <w:color w:val="000000"/>
      <w:sz w:val="22"/>
      <w:szCs w:val="22"/>
    </w:rPr>
  </w:style>
  <w:style w:type="character" w:customStyle="1" w:styleId="95">
    <w:name w:val="日期 Char1"/>
    <w:semiHidden/>
    <w:qFormat/>
    <w:uiPriority w:val="99"/>
    <w:rPr>
      <w:rFonts w:ascii="仿宋" w:hAnsi="仿宋" w:eastAsia="仿宋" w:cs="仿宋"/>
      <w:color w:val="000000"/>
      <w:sz w:val="24"/>
      <w:szCs w:val="22"/>
    </w:rPr>
  </w:style>
  <w:style w:type="character" w:customStyle="1" w:styleId="96">
    <w:name w:val="日期 Char123"/>
    <w:semiHidden/>
    <w:qFormat/>
    <w:uiPriority w:val="99"/>
    <w:rPr>
      <w:rFonts w:ascii="仿宋" w:hAnsi="仿宋" w:eastAsia="仿宋" w:cs="仿宋"/>
      <w:color w:val="000000"/>
      <w:sz w:val="22"/>
      <w:szCs w:val="22"/>
    </w:rPr>
  </w:style>
  <w:style w:type="character" w:customStyle="1" w:styleId="97">
    <w:name w:val="日期 Char122"/>
    <w:semiHidden/>
    <w:qFormat/>
    <w:uiPriority w:val="99"/>
    <w:rPr>
      <w:rFonts w:ascii="仿宋" w:hAnsi="仿宋" w:eastAsia="仿宋" w:cs="仿宋"/>
      <w:color w:val="000000"/>
      <w:sz w:val="22"/>
      <w:szCs w:val="22"/>
    </w:rPr>
  </w:style>
  <w:style w:type="character" w:customStyle="1" w:styleId="98">
    <w:name w:val="日期 Char121"/>
    <w:semiHidden/>
    <w:qFormat/>
    <w:uiPriority w:val="99"/>
    <w:rPr>
      <w:rFonts w:ascii="仿宋" w:hAnsi="仿宋" w:eastAsia="仿宋" w:cs="仿宋"/>
      <w:color w:val="000000"/>
      <w:sz w:val="22"/>
      <w:szCs w:val="22"/>
    </w:rPr>
  </w:style>
  <w:style w:type="character" w:customStyle="1" w:styleId="99">
    <w:name w:val="日期 Char120"/>
    <w:semiHidden/>
    <w:qFormat/>
    <w:uiPriority w:val="99"/>
    <w:rPr>
      <w:rFonts w:ascii="仿宋" w:hAnsi="仿宋" w:eastAsia="仿宋" w:cs="仿宋"/>
      <w:color w:val="000000"/>
      <w:sz w:val="22"/>
      <w:szCs w:val="22"/>
    </w:rPr>
  </w:style>
  <w:style w:type="character" w:customStyle="1" w:styleId="100">
    <w:name w:val="日期 Char119"/>
    <w:semiHidden/>
    <w:qFormat/>
    <w:uiPriority w:val="99"/>
    <w:rPr>
      <w:rFonts w:ascii="仿宋" w:hAnsi="仿宋" w:eastAsia="仿宋" w:cs="仿宋"/>
      <w:color w:val="000000"/>
      <w:sz w:val="22"/>
      <w:szCs w:val="22"/>
    </w:rPr>
  </w:style>
  <w:style w:type="character" w:customStyle="1" w:styleId="101">
    <w:name w:val="日期 Char118"/>
    <w:semiHidden/>
    <w:qFormat/>
    <w:uiPriority w:val="99"/>
    <w:rPr>
      <w:rFonts w:ascii="仿宋" w:hAnsi="仿宋" w:eastAsia="仿宋" w:cs="仿宋"/>
      <w:color w:val="000000"/>
      <w:sz w:val="22"/>
      <w:szCs w:val="22"/>
    </w:rPr>
  </w:style>
  <w:style w:type="character" w:customStyle="1" w:styleId="102">
    <w:name w:val="日期 Char117"/>
    <w:semiHidden/>
    <w:qFormat/>
    <w:uiPriority w:val="99"/>
    <w:rPr>
      <w:rFonts w:ascii="仿宋" w:hAnsi="仿宋" w:eastAsia="仿宋" w:cs="仿宋"/>
      <w:color w:val="000000"/>
      <w:sz w:val="22"/>
      <w:szCs w:val="22"/>
    </w:rPr>
  </w:style>
  <w:style w:type="character" w:customStyle="1" w:styleId="103">
    <w:name w:val="日期 Char116"/>
    <w:semiHidden/>
    <w:qFormat/>
    <w:uiPriority w:val="99"/>
    <w:rPr>
      <w:rFonts w:ascii="仿宋" w:hAnsi="仿宋" w:eastAsia="仿宋" w:cs="仿宋"/>
      <w:color w:val="000000"/>
      <w:sz w:val="22"/>
      <w:szCs w:val="22"/>
    </w:rPr>
  </w:style>
  <w:style w:type="character" w:customStyle="1" w:styleId="104">
    <w:name w:val="日期 Char115"/>
    <w:semiHidden/>
    <w:qFormat/>
    <w:uiPriority w:val="99"/>
    <w:rPr>
      <w:rFonts w:ascii="仿宋" w:hAnsi="仿宋" w:eastAsia="仿宋" w:cs="仿宋"/>
      <w:color w:val="000000"/>
      <w:sz w:val="22"/>
      <w:szCs w:val="22"/>
    </w:rPr>
  </w:style>
  <w:style w:type="character" w:customStyle="1" w:styleId="105">
    <w:name w:val="日期 Char114"/>
    <w:semiHidden/>
    <w:qFormat/>
    <w:uiPriority w:val="99"/>
    <w:rPr>
      <w:rFonts w:ascii="仿宋" w:hAnsi="仿宋" w:eastAsia="仿宋" w:cs="仿宋"/>
      <w:color w:val="000000"/>
      <w:sz w:val="22"/>
      <w:szCs w:val="22"/>
    </w:rPr>
  </w:style>
  <w:style w:type="character" w:customStyle="1" w:styleId="106">
    <w:name w:val="日期 Char113"/>
    <w:semiHidden/>
    <w:qFormat/>
    <w:uiPriority w:val="99"/>
    <w:rPr>
      <w:rFonts w:ascii="仿宋" w:hAnsi="仿宋" w:eastAsia="仿宋" w:cs="仿宋"/>
      <w:color w:val="000000"/>
      <w:sz w:val="22"/>
      <w:szCs w:val="22"/>
    </w:rPr>
  </w:style>
  <w:style w:type="character" w:customStyle="1" w:styleId="107">
    <w:name w:val="日期 Char112"/>
    <w:semiHidden/>
    <w:qFormat/>
    <w:uiPriority w:val="99"/>
    <w:rPr>
      <w:rFonts w:ascii="仿宋" w:hAnsi="仿宋" w:eastAsia="仿宋" w:cs="仿宋"/>
      <w:color w:val="000000"/>
      <w:sz w:val="22"/>
      <w:szCs w:val="22"/>
    </w:rPr>
  </w:style>
  <w:style w:type="character" w:customStyle="1" w:styleId="108">
    <w:name w:val="日期 Char111"/>
    <w:semiHidden/>
    <w:qFormat/>
    <w:uiPriority w:val="99"/>
    <w:rPr>
      <w:rFonts w:ascii="仿宋" w:hAnsi="仿宋" w:eastAsia="仿宋" w:cs="仿宋"/>
      <w:color w:val="000000"/>
      <w:sz w:val="22"/>
      <w:szCs w:val="22"/>
    </w:rPr>
  </w:style>
  <w:style w:type="character" w:customStyle="1" w:styleId="109">
    <w:name w:val="日期 Char110"/>
    <w:semiHidden/>
    <w:qFormat/>
    <w:uiPriority w:val="99"/>
    <w:rPr>
      <w:rFonts w:ascii="仿宋" w:hAnsi="仿宋" w:eastAsia="仿宋" w:cs="仿宋"/>
      <w:color w:val="000000"/>
      <w:sz w:val="22"/>
      <w:szCs w:val="22"/>
    </w:rPr>
  </w:style>
  <w:style w:type="character" w:customStyle="1" w:styleId="110">
    <w:name w:val="日期 Char19"/>
    <w:semiHidden/>
    <w:qFormat/>
    <w:uiPriority w:val="99"/>
    <w:rPr>
      <w:rFonts w:ascii="仿宋" w:hAnsi="仿宋" w:eastAsia="仿宋" w:cs="仿宋"/>
      <w:color w:val="000000"/>
      <w:sz w:val="22"/>
      <w:szCs w:val="22"/>
    </w:rPr>
  </w:style>
  <w:style w:type="character" w:customStyle="1" w:styleId="111">
    <w:name w:val="日期 Char18"/>
    <w:semiHidden/>
    <w:qFormat/>
    <w:uiPriority w:val="99"/>
    <w:rPr>
      <w:rFonts w:ascii="仿宋" w:hAnsi="仿宋" w:eastAsia="仿宋" w:cs="仿宋"/>
      <w:color w:val="000000"/>
      <w:sz w:val="22"/>
      <w:szCs w:val="22"/>
    </w:rPr>
  </w:style>
  <w:style w:type="character" w:customStyle="1" w:styleId="112">
    <w:name w:val="日期 Char17"/>
    <w:semiHidden/>
    <w:qFormat/>
    <w:uiPriority w:val="99"/>
    <w:rPr>
      <w:rFonts w:ascii="仿宋" w:hAnsi="仿宋" w:eastAsia="仿宋" w:cs="仿宋"/>
      <w:color w:val="000000"/>
      <w:sz w:val="22"/>
      <w:szCs w:val="22"/>
    </w:rPr>
  </w:style>
  <w:style w:type="character" w:customStyle="1" w:styleId="113">
    <w:name w:val="日期 Char16"/>
    <w:semiHidden/>
    <w:qFormat/>
    <w:uiPriority w:val="99"/>
    <w:rPr>
      <w:rFonts w:ascii="仿宋" w:hAnsi="仿宋" w:eastAsia="仿宋" w:cs="仿宋"/>
      <w:color w:val="000000"/>
      <w:sz w:val="22"/>
      <w:szCs w:val="22"/>
    </w:rPr>
  </w:style>
  <w:style w:type="character" w:customStyle="1" w:styleId="114">
    <w:name w:val="日期 Char15"/>
    <w:semiHidden/>
    <w:qFormat/>
    <w:uiPriority w:val="99"/>
    <w:rPr>
      <w:rFonts w:ascii="仿宋" w:hAnsi="仿宋" w:eastAsia="仿宋" w:cs="仿宋"/>
      <w:color w:val="000000"/>
      <w:sz w:val="22"/>
      <w:szCs w:val="22"/>
    </w:rPr>
  </w:style>
  <w:style w:type="character" w:customStyle="1" w:styleId="115">
    <w:name w:val="日期 Char14"/>
    <w:semiHidden/>
    <w:qFormat/>
    <w:uiPriority w:val="99"/>
    <w:rPr>
      <w:rFonts w:ascii="仿宋" w:hAnsi="仿宋" w:eastAsia="仿宋" w:cs="仿宋"/>
      <w:color w:val="000000"/>
      <w:sz w:val="22"/>
      <w:szCs w:val="22"/>
    </w:rPr>
  </w:style>
  <w:style w:type="character" w:customStyle="1" w:styleId="116">
    <w:name w:val="日期 Char13"/>
    <w:semiHidden/>
    <w:qFormat/>
    <w:uiPriority w:val="99"/>
    <w:rPr>
      <w:rFonts w:ascii="仿宋" w:hAnsi="仿宋" w:eastAsia="仿宋" w:cs="仿宋"/>
      <w:color w:val="000000"/>
      <w:sz w:val="22"/>
      <w:szCs w:val="22"/>
    </w:rPr>
  </w:style>
  <w:style w:type="character" w:customStyle="1" w:styleId="117">
    <w:name w:val="日期 Char12"/>
    <w:semiHidden/>
    <w:qFormat/>
    <w:uiPriority w:val="99"/>
    <w:rPr>
      <w:rFonts w:ascii="仿宋" w:hAnsi="仿宋" w:eastAsia="仿宋" w:cs="仿宋"/>
      <w:color w:val="000000"/>
      <w:sz w:val="22"/>
      <w:szCs w:val="22"/>
    </w:rPr>
  </w:style>
  <w:style w:type="character" w:customStyle="1" w:styleId="118">
    <w:name w:val="日期 Char11"/>
    <w:semiHidden/>
    <w:qFormat/>
    <w:uiPriority w:val="99"/>
    <w:rPr>
      <w:rFonts w:ascii="仿宋" w:hAnsi="仿宋" w:eastAsia="仿宋" w:cs="仿宋"/>
      <w:color w:val="000000"/>
      <w:sz w:val="22"/>
      <w:szCs w:val="22"/>
    </w:rPr>
  </w:style>
  <w:style w:type="character" w:customStyle="1" w:styleId="119">
    <w:name w:val="批注框文本 Char1"/>
    <w:semiHidden/>
    <w:qFormat/>
    <w:uiPriority w:val="99"/>
    <w:rPr>
      <w:rFonts w:ascii="仿宋" w:hAnsi="仿宋" w:eastAsia="仿宋" w:cs="仿宋"/>
      <w:color w:val="000000"/>
      <w:sz w:val="18"/>
      <w:szCs w:val="18"/>
    </w:rPr>
  </w:style>
  <w:style w:type="character" w:customStyle="1" w:styleId="120">
    <w:name w:val="批注框文本 Char123"/>
    <w:semiHidden/>
    <w:qFormat/>
    <w:uiPriority w:val="99"/>
    <w:rPr>
      <w:rFonts w:ascii="仿宋" w:hAnsi="仿宋" w:eastAsia="仿宋" w:cs="仿宋"/>
      <w:color w:val="000000"/>
      <w:sz w:val="18"/>
      <w:szCs w:val="18"/>
    </w:rPr>
  </w:style>
  <w:style w:type="character" w:customStyle="1" w:styleId="121">
    <w:name w:val="批注框文本 Char122"/>
    <w:semiHidden/>
    <w:qFormat/>
    <w:uiPriority w:val="99"/>
    <w:rPr>
      <w:rFonts w:ascii="仿宋" w:hAnsi="仿宋" w:eastAsia="仿宋" w:cs="仿宋"/>
      <w:color w:val="000000"/>
      <w:sz w:val="18"/>
      <w:szCs w:val="18"/>
    </w:rPr>
  </w:style>
  <w:style w:type="character" w:customStyle="1" w:styleId="122">
    <w:name w:val="批注框文本 Char121"/>
    <w:semiHidden/>
    <w:qFormat/>
    <w:uiPriority w:val="99"/>
    <w:rPr>
      <w:rFonts w:ascii="仿宋" w:hAnsi="仿宋" w:eastAsia="仿宋" w:cs="仿宋"/>
      <w:color w:val="000000"/>
      <w:sz w:val="18"/>
      <w:szCs w:val="18"/>
    </w:rPr>
  </w:style>
  <w:style w:type="character" w:customStyle="1" w:styleId="123">
    <w:name w:val="批注框文本 Char120"/>
    <w:semiHidden/>
    <w:qFormat/>
    <w:uiPriority w:val="99"/>
    <w:rPr>
      <w:rFonts w:ascii="仿宋" w:hAnsi="仿宋" w:eastAsia="仿宋" w:cs="仿宋"/>
      <w:color w:val="000000"/>
      <w:sz w:val="18"/>
      <w:szCs w:val="18"/>
    </w:rPr>
  </w:style>
  <w:style w:type="character" w:customStyle="1" w:styleId="124">
    <w:name w:val="批注框文本 Char119"/>
    <w:semiHidden/>
    <w:qFormat/>
    <w:uiPriority w:val="99"/>
    <w:rPr>
      <w:rFonts w:ascii="仿宋" w:hAnsi="仿宋" w:eastAsia="仿宋" w:cs="仿宋"/>
      <w:color w:val="000000"/>
      <w:sz w:val="18"/>
      <w:szCs w:val="18"/>
    </w:rPr>
  </w:style>
  <w:style w:type="character" w:customStyle="1" w:styleId="125">
    <w:name w:val="批注框文本 Char118"/>
    <w:semiHidden/>
    <w:qFormat/>
    <w:uiPriority w:val="99"/>
    <w:rPr>
      <w:rFonts w:ascii="仿宋" w:hAnsi="仿宋" w:eastAsia="仿宋" w:cs="仿宋"/>
      <w:color w:val="000000"/>
      <w:sz w:val="18"/>
      <w:szCs w:val="18"/>
    </w:rPr>
  </w:style>
  <w:style w:type="character" w:customStyle="1" w:styleId="126">
    <w:name w:val="批注框文本 Char117"/>
    <w:semiHidden/>
    <w:qFormat/>
    <w:uiPriority w:val="99"/>
    <w:rPr>
      <w:rFonts w:ascii="仿宋" w:hAnsi="仿宋" w:eastAsia="仿宋" w:cs="仿宋"/>
      <w:color w:val="000000"/>
      <w:sz w:val="18"/>
      <w:szCs w:val="18"/>
    </w:rPr>
  </w:style>
  <w:style w:type="character" w:customStyle="1" w:styleId="127">
    <w:name w:val="批注框文本 Char116"/>
    <w:semiHidden/>
    <w:qFormat/>
    <w:uiPriority w:val="99"/>
    <w:rPr>
      <w:rFonts w:ascii="仿宋" w:hAnsi="仿宋" w:eastAsia="仿宋" w:cs="仿宋"/>
      <w:color w:val="000000"/>
      <w:sz w:val="18"/>
      <w:szCs w:val="18"/>
    </w:rPr>
  </w:style>
  <w:style w:type="character" w:customStyle="1" w:styleId="128">
    <w:name w:val="批注框文本 Char115"/>
    <w:semiHidden/>
    <w:qFormat/>
    <w:uiPriority w:val="99"/>
    <w:rPr>
      <w:rFonts w:ascii="仿宋" w:hAnsi="仿宋" w:eastAsia="仿宋" w:cs="仿宋"/>
      <w:color w:val="000000"/>
      <w:sz w:val="18"/>
      <w:szCs w:val="18"/>
    </w:rPr>
  </w:style>
  <w:style w:type="character" w:customStyle="1" w:styleId="129">
    <w:name w:val="批注框文本 Char114"/>
    <w:semiHidden/>
    <w:qFormat/>
    <w:uiPriority w:val="99"/>
    <w:rPr>
      <w:rFonts w:ascii="仿宋" w:hAnsi="仿宋" w:eastAsia="仿宋" w:cs="仿宋"/>
      <w:color w:val="000000"/>
      <w:sz w:val="18"/>
      <w:szCs w:val="18"/>
    </w:rPr>
  </w:style>
  <w:style w:type="character" w:customStyle="1" w:styleId="130">
    <w:name w:val="批注框文本 Char113"/>
    <w:semiHidden/>
    <w:qFormat/>
    <w:uiPriority w:val="99"/>
    <w:rPr>
      <w:rFonts w:ascii="仿宋" w:hAnsi="仿宋" w:eastAsia="仿宋" w:cs="仿宋"/>
      <w:color w:val="000000"/>
      <w:sz w:val="18"/>
      <w:szCs w:val="18"/>
    </w:rPr>
  </w:style>
  <w:style w:type="character" w:customStyle="1" w:styleId="131">
    <w:name w:val="批注框文本 Char112"/>
    <w:semiHidden/>
    <w:qFormat/>
    <w:uiPriority w:val="99"/>
    <w:rPr>
      <w:rFonts w:ascii="仿宋" w:hAnsi="仿宋" w:eastAsia="仿宋" w:cs="仿宋"/>
      <w:color w:val="000000"/>
      <w:sz w:val="18"/>
      <w:szCs w:val="18"/>
    </w:rPr>
  </w:style>
  <w:style w:type="character" w:customStyle="1" w:styleId="132">
    <w:name w:val="批注框文本 Char111"/>
    <w:semiHidden/>
    <w:qFormat/>
    <w:uiPriority w:val="99"/>
    <w:rPr>
      <w:rFonts w:ascii="仿宋" w:hAnsi="仿宋" w:eastAsia="仿宋" w:cs="仿宋"/>
      <w:color w:val="000000"/>
      <w:sz w:val="18"/>
      <w:szCs w:val="18"/>
    </w:rPr>
  </w:style>
  <w:style w:type="character" w:customStyle="1" w:styleId="133">
    <w:name w:val="批注框文本 Char110"/>
    <w:semiHidden/>
    <w:qFormat/>
    <w:uiPriority w:val="99"/>
    <w:rPr>
      <w:rFonts w:ascii="仿宋" w:hAnsi="仿宋" w:eastAsia="仿宋" w:cs="仿宋"/>
      <w:color w:val="000000"/>
      <w:sz w:val="18"/>
      <w:szCs w:val="18"/>
    </w:rPr>
  </w:style>
  <w:style w:type="character" w:customStyle="1" w:styleId="134">
    <w:name w:val="批注框文本 Char19"/>
    <w:semiHidden/>
    <w:qFormat/>
    <w:uiPriority w:val="99"/>
    <w:rPr>
      <w:rFonts w:ascii="仿宋" w:hAnsi="仿宋" w:eastAsia="仿宋" w:cs="仿宋"/>
      <w:color w:val="000000"/>
      <w:sz w:val="18"/>
      <w:szCs w:val="18"/>
    </w:rPr>
  </w:style>
  <w:style w:type="character" w:customStyle="1" w:styleId="135">
    <w:name w:val="批注框文本 Char18"/>
    <w:semiHidden/>
    <w:qFormat/>
    <w:uiPriority w:val="99"/>
    <w:rPr>
      <w:rFonts w:ascii="仿宋" w:hAnsi="仿宋" w:eastAsia="仿宋" w:cs="仿宋"/>
      <w:color w:val="000000"/>
      <w:sz w:val="18"/>
      <w:szCs w:val="18"/>
    </w:rPr>
  </w:style>
  <w:style w:type="character" w:customStyle="1" w:styleId="136">
    <w:name w:val="批注框文本 Char17"/>
    <w:semiHidden/>
    <w:qFormat/>
    <w:uiPriority w:val="99"/>
    <w:rPr>
      <w:rFonts w:ascii="仿宋" w:hAnsi="仿宋" w:eastAsia="仿宋" w:cs="仿宋"/>
      <w:color w:val="000000"/>
      <w:sz w:val="18"/>
      <w:szCs w:val="18"/>
    </w:rPr>
  </w:style>
  <w:style w:type="character" w:customStyle="1" w:styleId="137">
    <w:name w:val="批注框文本 Char16"/>
    <w:semiHidden/>
    <w:qFormat/>
    <w:uiPriority w:val="99"/>
    <w:rPr>
      <w:rFonts w:ascii="仿宋" w:hAnsi="仿宋" w:eastAsia="仿宋" w:cs="仿宋"/>
      <w:color w:val="000000"/>
      <w:sz w:val="18"/>
      <w:szCs w:val="18"/>
    </w:rPr>
  </w:style>
  <w:style w:type="character" w:customStyle="1" w:styleId="138">
    <w:name w:val="批注框文本 Char15"/>
    <w:semiHidden/>
    <w:qFormat/>
    <w:uiPriority w:val="99"/>
    <w:rPr>
      <w:rFonts w:ascii="仿宋" w:hAnsi="仿宋" w:eastAsia="仿宋" w:cs="仿宋"/>
      <w:color w:val="000000"/>
      <w:sz w:val="18"/>
      <w:szCs w:val="18"/>
    </w:rPr>
  </w:style>
  <w:style w:type="character" w:customStyle="1" w:styleId="139">
    <w:name w:val="批注框文本 Char14"/>
    <w:semiHidden/>
    <w:qFormat/>
    <w:uiPriority w:val="99"/>
    <w:rPr>
      <w:rFonts w:ascii="仿宋" w:hAnsi="仿宋" w:eastAsia="仿宋" w:cs="仿宋"/>
      <w:color w:val="000000"/>
      <w:sz w:val="18"/>
      <w:szCs w:val="18"/>
    </w:rPr>
  </w:style>
  <w:style w:type="character" w:customStyle="1" w:styleId="140">
    <w:name w:val="批注框文本 Char13"/>
    <w:semiHidden/>
    <w:qFormat/>
    <w:uiPriority w:val="99"/>
    <w:rPr>
      <w:rFonts w:ascii="仿宋" w:hAnsi="仿宋" w:eastAsia="仿宋" w:cs="仿宋"/>
      <w:color w:val="000000"/>
      <w:sz w:val="18"/>
      <w:szCs w:val="18"/>
    </w:rPr>
  </w:style>
  <w:style w:type="character" w:customStyle="1" w:styleId="141">
    <w:name w:val="批注框文本 Char12"/>
    <w:semiHidden/>
    <w:qFormat/>
    <w:uiPriority w:val="99"/>
    <w:rPr>
      <w:rFonts w:ascii="仿宋" w:hAnsi="仿宋" w:eastAsia="仿宋" w:cs="仿宋"/>
      <w:color w:val="000000"/>
      <w:sz w:val="18"/>
      <w:szCs w:val="18"/>
    </w:rPr>
  </w:style>
  <w:style w:type="character" w:customStyle="1" w:styleId="142">
    <w:name w:val="批注框文本 Char11"/>
    <w:semiHidden/>
    <w:qFormat/>
    <w:uiPriority w:val="99"/>
    <w:rPr>
      <w:rFonts w:ascii="仿宋" w:hAnsi="仿宋" w:eastAsia="仿宋" w:cs="仿宋"/>
      <w:color w:val="000000"/>
      <w:sz w:val="18"/>
      <w:szCs w:val="18"/>
    </w:rPr>
  </w:style>
  <w:style w:type="character" w:customStyle="1" w:styleId="143">
    <w:name w:val="页脚 Char1"/>
    <w:semiHidden/>
    <w:qFormat/>
    <w:uiPriority w:val="99"/>
    <w:rPr>
      <w:rFonts w:ascii="仿宋" w:hAnsi="仿宋" w:eastAsia="仿宋" w:cs="仿宋"/>
      <w:color w:val="000000"/>
      <w:sz w:val="18"/>
      <w:szCs w:val="18"/>
    </w:rPr>
  </w:style>
  <w:style w:type="character" w:customStyle="1" w:styleId="144">
    <w:name w:val="页脚 Char123"/>
    <w:semiHidden/>
    <w:qFormat/>
    <w:uiPriority w:val="99"/>
    <w:rPr>
      <w:rFonts w:ascii="仿宋" w:hAnsi="仿宋" w:eastAsia="仿宋" w:cs="仿宋"/>
      <w:color w:val="000000"/>
      <w:sz w:val="18"/>
      <w:szCs w:val="18"/>
    </w:rPr>
  </w:style>
  <w:style w:type="character" w:customStyle="1" w:styleId="145">
    <w:name w:val="页脚 Char122"/>
    <w:semiHidden/>
    <w:qFormat/>
    <w:uiPriority w:val="99"/>
    <w:rPr>
      <w:rFonts w:ascii="仿宋" w:hAnsi="仿宋" w:eastAsia="仿宋" w:cs="仿宋"/>
      <w:color w:val="000000"/>
      <w:sz w:val="18"/>
      <w:szCs w:val="18"/>
    </w:rPr>
  </w:style>
  <w:style w:type="character" w:customStyle="1" w:styleId="146">
    <w:name w:val="页脚 Char121"/>
    <w:semiHidden/>
    <w:qFormat/>
    <w:uiPriority w:val="99"/>
    <w:rPr>
      <w:rFonts w:ascii="仿宋" w:hAnsi="仿宋" w:eastAsia="仿宋" w:cs="仿宋"/>
      <w:color w:val="000000"/>
      <w:sz w:val="18"/>
      <w:szCs w:val="18"/>
    </w:rPr>
  </w:style>
  <w:style w:type="character" w:customStyle="1" w:styleId="147">
    <w:name w:val="页脚 Char120"/>
    <w:semiHidden/>
    <w:qFormat/>
    <w:uiPriority w:val="99"/>
    <w:rPr>
      <w:rFonts w:ascii="仿宋" w:hAnsi="仿宋" w:eastAsia="仿宋" w:cs="仿宋"/>
      <w:color w:val="000000"/>
      <w:sz w:val="18"/>
      <w:szCs w:val="18"/>
    </w:rPr>
  </w:style>
  <w:style w:type="character" w:customStyle="1" w:styleId="148">
    <w:name w:val="页脚 Char119"/>
    <w:semiHidden/>
    <w:qFormat/>
    <w:uiPriority w:val="99"/>
    <w:rPr>
      <w:rFonts w:ascii="仿宋" w:hAnsi="仿宋" w:eastAsia="仿宋" w:cs="仿宋"/>
      <w:color w:val="000000"/>
      <w:sz w:val="18"/>
      <w:szCs w:val="18"/>
    </w:rPr>
  </w:style>
  <w:style w:type="character" w:customStyle="1" w:styleId="149">
    <w:name w:val="页脚 Char118"/>
    <w:semiHidden/>
    <w:qFormat/>
    <w:uiPriority w:val="99"/>
    <w:rPr>
      <w:rFonts w:ascii="仿宋" w:hAnsi="仿宋" w:eastAsia="仿宋" w:cs="仿宋"/>
      <w:color w:val="000000"/>
      <w:sz w:val="18"/>
      <w:szCs w:val="18"/>
    </w:rPr>
  </w:style>
  <w:style w:type="character" w:customStyle="1" w:styleId="150">
    <w:name w:val="页脚 Char117"/>
    <w:semiHidden/>
    <w:qFormat/>
    <w:uiPriority w:val="99"/>
    <w:rPr>
      <w:rFonts w:ascii="仿宋" w:hAnsi="仿宋" w:eastAsia="仿宋" w:cs="仿宋"/>
      <w:color w:val="000000"/>
      <w:sz w:val="18"/>
      <w:szCs w:val="18"/>
    </w:rPr>
  </w:style>
  <w:style w:type="character" w:customStyle="1" w:styleId="151">
    <w:name w:val="页脚 Char116"/>
    <w:semiHidden/>
    <w:qFormat/>
    <w:uiPriority w:val="99"/>
    <w:rPr>
      <w:rFonts w:ascii="仿宋" w:hAnsi="仿宋" w:eastAsia="仿宋" w:cs="仿宋"/>
      <w:color w:val="000000"/>
      <w:sz w:val="18"/>
      <w:szCs w:val="18"/>
    </w:rPr>
  </w:style>
  <w:style w:type="character" w:customStyle="1" w:styleId="152">
    <w:name w:val="页脚 Char115"/>
    <w:semiHidden/>
    <w:qFormat/>
    <w:uiPriority w:val="99"/>
    <w:rPr>
      <w:rFonts w:ascii="仿宋" w:hAnsi="仿宋" w:eastAsia="仿宋" w:cs="仿宋"/>
      <w:color w:val="000000"/>
      <w:sz w:val="18"/>
      <w:szCs w:val="18"/>
    </w:rPr>
  </w:style>
  <w:style w:type="character" w:customStyle="1" w:styleId="153">
    <w:name w:val="页脚 Char114"/>
    <w:semiHidden/>
    <w:qFormat/>
    <w:uiPriority w:val="99"/>
    <w:rPr>
      <w:rFonts w:ascii="仿宋" w:hAnsi="仿宋" w:eastAsia="仿宋" w:cs="仿宋"/>
      <w:color w:val="000000"/>
      <w:sz w:val="18"/>
      <w:szCs w:val="18"/>
    </w:rPr>
  </w:style>
  <w:style w:type="character" w:customStyle="1" w:styleId="154">
    <w:name w:val="页脚 Char113"/>
    <w:semiHidden/>
    <w:qFormat/>
    <w:uiPriority w:val="99"/>
    <w:rPr>
      <w:rFonts w:ascii="仿宋" w:hAnsi="仿宋" w:eastAsia="仿宋" w:cs="仿宋"/>
      <w:color w:val="000000"/>
      <w:sz w:val="18"/>
      <w:szCs w:val="18"/>
    </w:rPr>
  </w:style>
  <w:style w:type="character" w:customStyle="1" w:styleId="155">
    <w:name w:val="页脚 Char112"/>
    <w:semiHidden/>
    <w:qFormat/>
    <w:uiPriority w:val="99"/>
    <w:rPr>
      <w:rFonts w:ascii="仿宋" w:hAnsi="仿宋" w:eastAsia="仿宋" w:cs="仿宋"/>
      <w:color w:val="000000"/>
      <w:sz w:val="18"/>
      <w:szCs w:val="18"/>
    </w:rPr>
  </w:style>
  <w:style w:type="character" w:customStyle="1" w:styleId="156">
    <w:name w:val="页脚 Char111"/>
    <w:semiHidden/>
    <w:qFormat/>
    <w:uiPriority w:val="99"/>
    <w:rPr>
      <w:rFonts w:ascii="仿宋" w:hAnsi="仿宋" w:eastAsia="仿宋" w:cs="仿宋"/>
      <w:color w:val="000000"/>
      <w:sz w:val="18"/>
      <w:szCs w:val="18"/>
    </w:rPr>
  </w:style>
  <w:style w:type="character" w:customStyle="1" w:styleId="157">
    <w:name w:val="页脚 Char110"/>
    <w:semiHidden/>
    <w:qFormat/>
    <w:uiPriority w:val="99"/>
    <w:rPr>
      <w:rFonts w:ascii="仿宋" w:hAnsi="仿宋" w:eastAsia="仿宋" w:cs="仿宋"/>
      <w:color w:val="000000"/>
      <w:sz w:val="18"/>
      <w:szCs w:val="18"/>
    </w:rPr>
  </w:style>
  <w:style w:type="character" w:customStyle="1" w:styleId="158">
    <w:name w:val="页脚 Char19"/>
    <w:semiHidden/>
    <w:qFormat/>
    <w:uiPriority w:val="99"/>
    <w:rPr>
      <w:rFonts w:ascii="仿宋" w:hAnsi="仿宋" w:eastAsia="仿宋" w:cs="仿宋"/>
      <w:color w:val="000000"/>
      <w:sz w:val="18"/>
      <w:szCs w:val="18"/>
    </w:rPr>
  </w:style>
  <w:style w:type="character" w:customStyle="1" w:styleId="159">
    <w:name w:val="页脚 Char18"/>
    <w:semiHidden/>
    <w:qFormat/>
    <w:uiPriority w:val="99"/>
    <w:rPr>
      <w:rFonts w:ascii="仿宋" w:hAnsi="仿宋" w:eastAsia="仿宋" w:cs="仿宋"/>
      <w:color w:val="000000"/>
      <w:sz w:val="18"/>
      <w:szCs w:val="18"/>
    </w:rPr>
  </w:style>
  <w:style w:type="character" w:customStyle="1" w:styleId="160">
    <w:name w:val="页脚 Char17"/>
    <w:semiHidden/>
    <w:qFormat/>
    <w:uiPriority w:val="99"/>
    <w:rPr>
      <w:rFonts w:ascii="仿宋" w:hAnsi="仿宋" w:eastAsia="仿宋" w:cs="仿宋"/>
      <w:color w:val="000000"/>
      <w:sz w:val="18"/>
      <w:szCs w:val="18"/>
    </w:rPr>
  </w:style>
  <w:style w:type="character" w:customStyle="1" w:styleId="161">
    <w:name w:val="页脚 Char16"/>
    <w:semiHidden/>
    <w:qFormat/>
    <w:uiPriority w:val="99"/>
    <w:rPr>
      <w:rFonts w:ascii="仿宋" w:hAnsi="仿宋" w:eastAsia="仿宋" w:cs="仿宋"/>
      <w:color w:val="000000"/>
      <w:sz w:val="18"/>
      <w:szCs w:val="18"/>
    </w:rPr>
  </w:style>
  <w:style w:type="character" w:customStyle="1" w:styleId="162">
    <w:name w:val="页脚 Char15"/>
    <w:semiHidden/>
    <w:qFormat/>
    <w:uiPriority w:val="99"/>
    <w:rPr>
      <w:rFonts w:ascii="仿宋" w:hAnsi="仿宋" w:eastAsia="仿宋" w:cs="仿宋"/>
      <w:color w:val="000000"/>
      <w:sz w:val="18"/>
      <w:szCs w:val="18"/>
    </w:rPr>
  </w:style>
  <w:style w:type="character" w:customStyle="1" w:styleId="163">
    <w:name w:val="页脚 Char14"/>
    <w:semiHidden/>
    <w:qFormat/>
    <w:uiPriority w:val="99"/>
    <w:rPr>
      <w:rFonts w:ascii="仿宋" w:hAnsi="仿宋" w:eastAsia="仿宋" w:cs="仿宋"/>
      <w:color w:val="000000"/>
      <w:sz w:val="18"/>
      <w:szCs w:val="18"/>
    </w:rPr>
  </w:style>
  <w:style w:type="character" w:customStyle="1" w:styleId="164">
    <w:name w:val="页脚 Char13"/>
    <w:semiHidden/>
    <w:qFormat/>
    <w:uiPriority w:val="99"/>
    <w:rPr>
      <w:rFonts w:ascii="仿宋" w:hAnsi="仿宋" w:eastAsia="仿宋" w:cs="仿宋"/>
      <w:color w:val="000000"/>
      <w:sz w:val="18"/>
      <w:szCs w:val="18"/>
    </w:rPr>
  </w:style>
  <w:style w:type="character" w:customStyle="1" w:styleId="165">
    <w:name w:val="页脚 Char12"/>
    <w:semiHidden/>
    <w:qFormat/>
    <w:uiPriority w:val="99"/>
    <w:rPr>
      <w:rFonts w:ascii="仿宋" w:hAnsi="仿宋" w:eastAsia="仿宋" w:cs="仿宋"/>
      <w:color w:val="000000"/>
      <w:sz w:val="18"/>
      <w:szCs w:val="18"/>
    </w:rPr>
  </w:style>
  <w:style w:type="character" w:customStyle="1" w:styleId="166">
    <w:name w:val="页脚 Char11"/>
    <w:semiHidden/>
    <w:qFormat/>
    <w:uiPriority w:val="99"/>
    <w:rPr>
      <w:rFonts w:ascii="仿宋" w:hAnsi="仿宋" w:eastAsia="仿宋" w:cs="仿宋"/>
      <w:color w:val="000000"/>
      <w:sz w:val="18"/>
      <w:szCs w:val="18"/>
    </w:rPr>
  </w:style>
  <w:style w:type="character" w:customStyle="1" w:styleId="167">
    <w:name w:val="页眉 Char1"/>
    <w:semiHidden/>
    <w:qFormat/>
    <w:uiPriority w:val="99"/>
    <w:rPr>
      <w:rFonts w:ascii="仿宋" w:hAnsi="仿宋" w:eastAsia="仿宋" w:cs="仿宋"/>
      <w:color w:val="000000"/>
      <w:sz w:val="18"/>
      <w:szCs w:val="18"/>
    </w:rPr>
  </w:style>
  <w:style w:type="character" w:customStyle="1" w:styleId="168">
    <w:name w:val="页眉 Char123"/>
    <w:semiHidden/>
    <w:qFormat/>
    <w:uiPriority w:val="99"/>
    <w:rPr>
      <w:rFonts w:ascii="仿宋" w:hAnsi="仿宋" w:eastAsia="仿宋" w:cs="仿宋"/>
      <w:color w:val="000000"/>
      <w:sz w:val="18"/>
      <w:szCs w:val="18"/>
    </w:rPr>
  </w:style>
  <w:style w:type="character" w:customStyle="1" w:styleId="169">
    <w:name w:val="页眉 Char122"/>
    <w:semiHidden/>
    <w:qFormat/>
    <w:uiPriority w:val="99"/>
    <w:rPr>
      <w:rFonts w:ascii="仿宋" w:hAnsi="仿宋" w:eastAsia="仿宋" w:cs="仿宋"/>
      <w:color w:val="000000"/>
      <w:sz w:val="18"/>
      <w:szCs w:val="18"/>
    </w:rPr>
  </w:style>
  <w:style w:type="character" w:customStyle="1" w:styleId="170">
    <w:name w:val="页眉 Char121"/>
    <w:semiHidden/>
    <w:qFormat/>
    <w:uiPriority w:val="99"/>
    <w:rPr>
      <w:rFonts w:ascii="仿宋" w:hAnsi="仿宋" w:eastAsia="仿宋" w:cs="仿宋"/>
      <w:color w:val="000000"/>
      <w:sz w:val="18"/>
      <w:szCs w:val="18"/>
    </w:rPr>
  </w:style>
  <w:style w:type="character" w:customStyle="1" w:styleId="171">
    <w:name w:val="页眉 Char120"/>
    <w:semiHidden/>
    <w:qFormat/>
    <w:uiPriority w:val="99"/>
    <w:rPr>
      <w:rFonts w:ascii="仿宋" w:hAnsi="仿宋" w:eastAsia="仿宋" w:cs="仿宋"/>
      <w:color w:val="000000"/>
      <w:sz w:val="18"/>
      <w:szCs w:val="18"/>
    </w:rPr>
  </w:style>
  <w:style w:type="character" w:customStyle="1" w:styleId="172">
    <w:name w:val="页眉 Char119"/>
    <w:semiHidden/>
    <w:qFormat/>
    <w:uiPriority w:val="99"/>
    <w:rPr>
      <w:rFonts w:ascii="仿宋" w:hAnsi="仿宋" w:eastAsia="仿宋" w:cs="仿宋"/>
      <w:color w:val="000000"/>
      <w:sz w:val="18"/>
      <w:szCs w:val="18"/>
    </w:rPr>
  </w:style>
  <w:style w:type="character" w:customStyle="1" w:styleId="173">
    <w:name w:val="页眉 Char118"/>
    <w:semiHidden/>
    <w:qFormat/>
    <w:uiPriority w:val="99"/>
    <w:rPr>
      <w:rFonts w:ascii="仿宋" w:hAnsi="仿宋" w:eastAsia="仿宋" w:cs="仿宋"/>
      <w:color w:val="000000"/>
      <w:sz w:val="18"/>
      <w:szCs w:val="18"/>
    </w:rPr>
  </w:style>
  <w:style w:type="character" w:customStyle="1" w:styleId="174">
    <w:name w:val="页眉 Char117"/>
    <w:semiHidden/>
    <w:qFormat/>
    <w:uiPriority w:val="99"/>
    <w:rPr>
      <w:rFonts w:ascii="仿宋" w:hAnsi="仿宋" w:eastAsia="仿宋" w:cs="仿宋"/>
      <w:color w:val="000000"/>
      <w:sz w:val="18"/>
      <w:szCs w:val="18"/>
    </w:rPr>
  </w:style>
  <w:style w:type="character" w:customStyle="1" w:styleId="175">
    <w:name w:val="页眉 Char116"/>
    <w:semiHidden/>
    <w:qFormat/>
    <w:uiPriority w:val="99"/>
    <w:rPr>
      <w:rFonts w:ascii="仿宋" w:hAnsi="仿宋" w:eastAsia="仿宋" w:cs="仿宋"/>
      <w:color w:val="000000"/>
      <w:sz w:val="18"/>
      <w:szCs w:val="18"/>
    </w:rPr>
  </w:style>
  <w:style w:type="character" w:customStyle="1" w:styleId="176">
    <w:name w:val="页眉 Char115"/>
    <w:semiHidden/>
    <w:qFormat/>
    <w:uiPriority w:val="99"/>
    <w:rPr>
      <w:rFonts w:ascii="仿宋" w:hAnsi="仿宋" w:eastAsia="仿宋" w:cs="仿宋"/>
      <w:color w:val="000000"/>
      <w:sz w:val="18"/>
      <w:szCs w:val="18"/>
    </w:rPr>
  </w:style>
  <w:style w:type="character" w:customStyle="1" w:styleId="177">
    <w:name w:val="页眉 Char114"/>
    <w:semiHidden/>
    <w:qFormat/>
    <w:uiPriority w:val="99"/>
    <w:rPr>
      <w:rFonts w:ascii="仿宋" w:hAnsi="仿宋" w:eastAsia="仿宋" w:cs="仿宋"/>
      <w:color w:val="000000"/>
      <w:sz w:val="18"/>
      <w:szCs w:val="18"/>
    </w:rPr>
  </w:style>
  <w:style w:type="character" w:customStyle="1" w:styleId="178">
    <w:name w:val="页眉 Char113"/>
    <w:semiHidden/>
    <w:qFormat/>
    <w:uiPriority w:val="99"/>
    <w:rPr>
      <w:rFonts w:ascii="仿宋" w:hAnsi="仿宋" w:eastAsia="仿宋" w:cs="仿宋"/>
      <w:color w:val="000000"/>
      <w:sz w:val="18"/>
      <w:szCs w:val="18"/>
    </w:rPr>
  </w:style>
  <w:style w:type="character" w:customStyle="1" w:styleId="179">
    <w:name w:val="页眉 Char112"/>
    <w:semiHidden/>
    <w:qFormat/>
    <w:uiPriority w:val="99"/>
    <w:rPr>
      <w:rFonts w:ascii="仿宋" w:hAnsi="仿宋" w:eastAsia="仿宋" w:cs="仿宋"/>
      <w:color w:val="000000"/>
      <w:sz w:val="18"/>
      <w:szCs w:val="18"/>
    </w:rPr>
  </w:style>
  <w:style w:type="character" w:customStyle="1" w:styleId="180">
    <w:name w:val="页眉 Char111"/>
    <w:semiHidden/>
    <w:qFormat/>
    <w:uiPriority w:val="99"/>
    <w:rPr>
      <w:rFonts w:ascii="仿宋" w:hAnsi="仿宋" w:eastAsia="仿宋" w:cs="仿宋"/>
      <w:color w:val="000000"/>
      <w:sz w:val="18"/>
      <w:szCs w:val="18"/>
    </w:rPr>
  </w:style>
  <w:style w:type="character" w:customStyle="1" w:styleId="181">
    <w:name w:val="页眉 Char110"/>
    <w:semiHidden/>
    <w:qFormat/>
    <w:uiPriority w:val="99"/>
    <w:rPr>
      <w:rFonts w:ascii="仿宋" w:hAnsi="仿宋" w:eastAsia="仿宋" w:cs="仿宋"/>
      <w:color w:val="000000"/>
      <w:sz w:val="18"/>
      <w:szCs w:val="18"/>
    </w:rPr>
  </w:style>
  <w:style w:type="character" w:customStyle="1" w:styleId="182">
    <w:name w:val="页眉 Char19"/>
    <w:semiHidden/>
    <w:qFormat/>
    <w:uiPriority w:val="99"/>
    <w:rPr>
      <w:rFonts w:ascii="仿宋" w:hAnsi="仿宋" w:eastAsia="仿宋" w:cs="仿宋"/>
      <w:color w:val="000000"/>
      <w:sz w:val="18"/>
      <w:szCs w:val="18"/>
    </w:rPr>
  </w:style>
  <w:style w:type="character" w:customStyle="1" w:styleId="183">
    <w:name w:val="页眉 Char18"/>
    <w:semiHidden/>
    <w:qFormat/>
    <w:uiPriority w:val="99"/>
    <w:rPr>
      <w:rFonts w:ascii="仿宋" w:hAnsi="仿宋" w:eastAsia="仿宋" w:cs="仿宋"/>
      <w:color w:val="000000"/>
      <w:sz w:val="18"/>
      <w:szCs w:val="18"/>
    </w:rPr>
  </w:style>
  <w:style w:type="character" w:customStyle="1" w:styleId="184">
    <w:name w:val="页眉 Char17"/>
    <w:semiHidden/>
    <w:qFormat/>
    <w:uiPriority w:val="99"/>
    <w:rPr>
      <w:rFonts w:ascii="仿宋" w:hAnsi="仿宋" w:eastAsia="仿宋" w:cs="仿宋"/>
      <w:color w:val="000000"/>
      <w:sz w:val="18"/>
      <w:szCs w:val="18"/>
    </w:rPr>
  </w:style>
  <w:style w:type="character" w:customStyle="1" w:styleId="185">
    <w:name w:val="页眉 Char16"/>
    <w:semiHidden/>
    <w:qFormat/>
    <w:uiPriority w:val="99"/>
    <w:rPr>
      <w:rFonts w:ascii="仿宋" w:hAnsi="仿宋" w:eastAsia="仿宋" w:cs="仿宋"/>
      <w:color w:val="000000"/>
      <w:sz w:val="18"/>
      <w:szCs w:val="18"/>
    </w:rPr>
  </w:style>
  <w:style w:type="character" w:customStyle="1" w:styleId="186">
    <w:name w:val="页眉 Char15"/>
    <w:semiHidden/>
    <w:qFormat/>
    <w:uiPriority w:val="99"/>
    <w:rPr>
      <w:rFonts w:ascii="仿宋" w:hAnsi="仿宋" w:eastAsia="仿宋" w:cs="仿宋"/>
      <w:color w:val="000000"/>
      <w:sz w:val="18"/>
      <w:szCs w:val="18"/>
    </w:rPr>
  </w:style>
  <w:style w:type="character" w:customStyle="1" w:styleId="187">
    <w:name w:val="页眉 Char14"/>
    <w:semiHidden/>
    <w:qFormat/>
    <w:uiPriority w:val="99"/>
    <w:rPr>
      <w:rFonts w:ascii="仿宋" w:hAnsi="仿宋" w:eastAsia="仿宋" w:cs="仿宋"/>
      <w:color w:val="000000"/>
      <w:sz w:val="18"/>
      <w:szCs w:val="18"/>
    </w:rPr>
  </w:style>
  <w:style w:type="character" w:customStyle="1" w:styleId="188">
    <w:name w:val="页眉 Char13"/>
    <w:semiHidden/>
    <w:qFormat/>
    <w:uiPriority w:val="99"/>
    <w:rPr>
      <w:rFonts w:ascii="仿宋" w:hAnsi="仿宋" w:eastAsia="仿宋" w:cs="仿宋"/>
      <w:color w:val="000000"/>
      <w:sz w:val="18"/>
      <w:szCs w:val="18"/>
    </w:rPr>
  </w:style>
  <w:style w:type="character" w:customStyle="1" w:styleId="189">
    <w:name w:val="页眉 Char12"/>
    <w:semiHidden/>
    <w:qFormat/>
    <w:uiPriority w:val="99"/>
    <w:rPr>
      <w:rFonts w:ascii="仿宋" w:hAnsi="仿宋" w:eastAsia="仿宋" w:cs="仿宋"/>
      <w:color w:val="000000"/>
      <w:sz w:val="18"/>
      <w:szCs w:val="18"/>
    </w:rPr>
  </w:style>
  <w:style w:type="character" w:customStyle="1" w:styleId="190">
    <w:name w:val="页眉 Char11"/>
    <w:semiHidden/>
    <w:qFormat/>
    <w:uiPriority w:val="99"/>
    <w:rPr>
      <w:rFonts w:ascii="仿宋" w:hAnsi="仿宋" w:eastAsia="仿宋" w:cs="仿宋"/>
      <w:color w:val="000000"/>
      <w:sz w:val="18"/>
      <w:szCs w:val="18"/>
    </w:rPr>
  </w:style>
  <w:style w:type="character" w:customStyle="1" w:styleId="191">
    <w:name w:val="正文文本缩进 3 Char1"/>
    <w:semiHidden/>
    <w:qFormat/>
    <w:uiPriority w:val="99"/>
    <w:rPr>
      <w:rFonts w:ascii="仿宋" w:hAnsi="仿宋" w:eastAsia="仿宋" w:cs="仿宋"/>
      <w:color w:val="000000"/>
      <w:sz w:val="16"/>
      <w:szCs w:val="16"/>
    </w:rPr>
  </w:style>
  <w:style w:type="character" w:customStyle="1" w:styleId="192">
    <w:name w:val="正文文本缩进 3 Char123"/>
    <w:semiHidden/>
    <w:qFormat/>
    <w:uiPriority w:val="99"/>
    <w:rPr>
      <w:rFonts w:ascii="仿宋" w:hAnsi="仿宋" w:eastAsia="仿宋" w:cs="仿宋"/>
      <w:color w:val="000000"/>
      <w:sz w:val="16"/>
      <w:szCs w:val="16"/>
    </w:rPr>
  </w:style>
  <w:style w:type="character" w:customStyle="1" w:styleId="193">
    <w:name w:val="正文文本缩进 3 Char122"/>
    <w:semiHidden/>
    <w:qFormat/>
    <w:uiPriority w:val="99"/>
    <w:rPr>
      <w:rFonts w:ascii="仿宋" w:hAnsi="仿宋" w:eastAsia="仿宋" w:cs="仿宋"/>
      <w:color w:val="000000"/>
      <w:sz w:val="16"/>
      <w:szCs w:val="16"/>
    </w:rPr>
  </w:style>
  <w:style w:type="character" w:customStyle="1" w:styleId="194">
    <w:name w:val="正文文本缩进 3 Char121"/>
    <w:semiHidden/>
    <w:qFormat/>
    <w:uiPriority w:val="99"/>
    <w:rPr>
      <w:rFonts w:ascii="仿宋" w:hAnsi="仿宋" w:eastAsia="仿宋" w:cs="仿宋"/>
      <w:color w:val="000000"/>
      <w:sz w:val="16"/>
      <w:szCs w:val="16"/>
    </w:rPr>
  </w:style>
  <w:style w:type="character" w:customStyle="1" w:styleId="195">
    <w:name w:val="正文文本缩进 3 Char120"/>
    <w:semiHidden/>
    <w:qFormat/>
    <w:uiPriority w:val="99"/>
    <w:rPr>
      <w:rFonts w:ascii="仿宋" w:hAnsi="仿宋" w:eastAsia="仿宋" w:cs="仿宋"/>
      <w:color w:val="000000"/>
      <w:sz w:val="16"/>
      <w:szCs w:val="16"/>
    </w:rPr>
  </w:style>
  <w:style w:type="character" w:customStyle="1" w:styleId="196">
    <w:name w:val="正文文本缩进 3 Char119"/>
    <w:semiHidden/>
    <w:qFormat/>
    <w:uiPriority w:val="99"/>
    <w:rPr>
      <w:rFonts w:ascii="仿宋" w:hAnsi="仿宋" w:eastAsia="仿宋" w:cs="仿宋"/>
      <w:color w:val="000000"/>
      <w:sz w:val="16"/>
      <w:szCs w:val="16"/>
    </w:rPr>
  </w:style>
  <w:style w:type="character" w:customStyle="1" w:styleId="197">
    <w:name w:val="正文文本缩进 3 Char118"/>
    <w:semiHidden/>
    <w:qFormat/>
    <w:uiPriority w:val="99"/>
    <w:rPr>
      <w:rFonts w:ascii="仿宋" w:hAnsi="仿宋" w:eastAsia="仿宋" w:cs="仿宋"/>
      <w:color w:val="000000"/>
      <w:sz w:val="16"/>
      <w:szCs w:val="16"/>
    </w:rPr>
  </w:style>
  <w:style w:type="character" w:customStyle="1" w:styleId="198">
    <w:name w:val="正文文本缩进 3 Char117"/>
    <w:semiHidden/>
    <w:qFormat/>
    <w:uiPriority w:val="99"/>
    <w:rPr>
      <w:rFonts w:ascii="仿宋" w:hAnsi="仿宋" w:eastAsia="仿宋" w:cs="仿宋"/>
      <w:color w:val="000000"/>
      <w:sz w:val="16"/>
      <w:szCs w:val="16"/>
    </w:rPr>
  </w:style>
  <w:style w:type="character" w:customStyle="1" w:styleId="199">
    <w:name w:val="正文文本缩进 3 Char116"/>
    <w:semiHidden/>
    <w:qFormat/>
    <w:uiPriority w:val="99"/>
    <w:rPr>
      <w:rFonts w:ascii="仿宋" w:hAnsi="仿宋" w:eastAsia="仿宋" w:cs="仿宋"/>
      <w:color w:val="000000"/>
      <w:sz w:val="16"/>
      <w:szCs w:val="16"/>
    </w:rPr>
  </w:style>
  <w:style w:type="character" w:customStyle="1" w:styleId="200">
    <w:name w:val="正文文本缩进 3 Char115"/>
    <w:semiHidden/>
    <w:qFormat/>
    <w:uiPriority w:val="99"/>
    <w:rPr>
      <w:rFonts w:ascii="仿宋" w:hAnsi="仿宋" w:eastAsia="仿宋" w:cs="仿宋"/>
      <w:color w:val="000000"/>
      <w:sz w:val="16"/>
      <w:szCs w:val="16"/>
    </w:rPr>
  </w:style>
  <w:style w:type="character" w:customStyle="1" w:styleId="201">
    <w:name w:val="正文文本缩进 3 Char114"/>
    <w:semiHidden/>
    <w:qFormat/>
    <w:uiPriority w:val="99"/>
    <w:rPr>
      <w:rFonts w:ascii="仿宋" w:hAnsi="仿宋" w:eastAsia="仿宋" w:cs="仿宋"/>
      <w:color w:val="000000"/>
      <w:sz w:val="16"/>
      <w:szCs w:val="16"/>
    </w:rPr>
  </w:style>
  <w:style w:type="character" w:customStyle="1" w:styleId="202">
    <w:name w:val="正文文本缩进 3 Char113"/>
    <w:semiHidden/>
    <w:qFormat/>
    <w:uiPriority w:val="99"/>
    <w:rPr>
      <w:rFonts w:ascii="仿宋" w:hAnsi="仿宋" w:eastAsia="仿宋" w:cs="仿宋"/>
      <w:color w:val="000000"/>
      <w:sz w:val="16"/>
      <w:szCs w:val="16"/>
    </w:rPr>
  </w:style>
  <w:style w:type="character" w:customStyle="1" w:styleId="203">
    <w:name w:val="正文文本缩进 3 Char112"/>
    <w:semiHidden/>
    <w:qFormat/>
    <w:uiPriority w:val="99"/>
    <w:rPr>
      <w:rFonts w:ascii="仿宋" w:hAnsi="仿宋" w:eastAsia="仿宋" w:cs="仿宋"/>
      <w:color w:val="000000"/>
      <w:sz w:val="16"/>
      <w:szCs w:val="16"/>
    </w:rPr>
  </w:style>
  <w:style w:type="character" w:customStyle="1" w:styleId="204">
    <w:name w:val="正文文本缩进 3 Char111"/>
    <w:semiHidden/>
    <w:qFormat/>
    <w:uiPriority w:val="99"/>
    <w:rPr>
      <w:rFonts w:ascii="仿宋" w:hAnsi="仿宋" w:eastAsia="仿宋" w:cs="仿宋"/>
      <w:color w:val="000000"/>
      <w:sz w:val="16"/>
      <w:szCs w:val="16"/>
    </w:rPr>
  </w:style>
  <w:style w:type="character" w:customStyle="1" w:styleId="205">
    <w:name w:val="正文文本缩进 3 Char110"/>
    <w:semiHidden/>
    <w:qFormat/>
    <w:uiPriority w:val="99"/>
    <w:rPr>
      <w:rFonts w:ascii="仿宋" w:hAnsi="仿宋" w:eastAsia="仿宋" w:cs="仿宋"/>
      <w:color w:val="000000"/>
      <w:sz w:val="16"/>
      <w:szCs w:val="16"/>
    </w:rPr>
  </w:style>
  <w:style w:type="character" w:customStyle="1" w:styleId="206">
    <w:name w:val="正文文本缩进 3 Char19"/>
    <w:semiHidden/>
    <w:qFormat/>
    <w:uiPriority w:val="99"/>
    <w:rPr>
      <w:rFonts w:ascii="仿宋" w:hAnsi="仿宋" w:eastAsia="仿宋" w:cs="仿宋"/>
      <w:color w:val="000000"/>
      <w:sz w:val="16"/>
      <w:szCs w:val="16"/>
    </w:rPr>
  </w:style>
  <w:style w:type="character" w:customStyle="1" w:styleId="207">
    <w:name w:val="正文文本缩进 3 Char18"/>
    <w:semiHidden/>
    <w:qFormat/>
    <w:uiPriority w:val="99"/>
    <w:rPr>
      <w:rFonts w:ascii="仿宋" w:hAnsi="仿宋" w:eastAsia="仿宋" w:cs="仿宋"/>
      <w:color w:val="000000"/>
      <w:sz w:val="16"/>
      <w:szCs w:val="16"/>
    </w:rPr>
  </w:style>
  <w:style w:type="character" w:customStyle="1" w:styleId="208">
    <w:name w:val="正文文本缩进 3 Char17"/>
    <w:semiHidden/>
    <w:qFormat/>
    <w:uiPriority w:val="99"/>
    <w:rPr>
      <w:rFonts w:ascii="仿宋" w:hAnsi="仿宋" w:eastAsia="仿宋" w:cs="仿宋"/>
      <w:color w:val="000000"/>
      <w:sz w:val="16"/>
      <w:szCs w:val="16"/>
    </w:rPr>
  </w:style>
  <w:style w:type="character" w:customStyle="1" w:styleId="209">
    <w:name w:val="正文文本缩进 3 Char16"/>
    <w:semiHidden/>
    <w:qFormat/>
    <w:uiPriority w:val="99"/>
    <w:rPr>
      <w:rFonts w:ascii="仿宋" w:hAnsi="仿宋" w:eastAsia="仿宋" w:cs="仿宋"/>
      <w:color w:val="000000"/>
      <w:sz w:val="16"/>
      <w:szCs w:val="16"/>
    </w:rPr>
  </w:style>
  <w:style w:type="character" w:customStyle="1" w:styleId="210">
    <w:name w:val="正文文本缩进 3 Char15"/>
    <w:semiHidden/>
    <w:qFormat/>
    <w:uiPriority w:val="99"/>
    <w:rPr>
      <w:rFonts w:ascii="仿宋" w:hAnsi="仿宋" w:eastAsia="仿宋" w:cs="仿宋"/>
      <w:color w:val="000000"/>
      <w:sz w:val="16"/>
      <w:szCs w:val="16"/>
    </w:rPr>
  </w:style>
  <w:style w:type="character" w:customStyle="1" w:styleId="211">
    <w:name w:val="正文文本缩进 3 Char14"/>
    <w:semiHidden/>
    <w:qFormat/>
    <w:uiPriority w:val="99"/>
    <w:rPr>
      <w:rFonts w:ascii="仿宋" w:hAnsi="仿宋" w:eastAsia="仿宋" w:cs="仿宋"/>
      <w:color w:val="000000"/>
      <w:sz w:val="16"/>
      <w:szCs w:val="16"/>
    </w:rPr>
  </w:style>
  <w:style w:type="character" w:customStyle="1" w:styleId="212">
    <w:name w:val="正文文本缩进 3 Char13"/>
    <w:semiHidden/>
    <w:qFormat/>
    <w:uiPriority w:val="99"/>
    <w:rPr>
      <w:rFonts w:ascii="仿宋" w:hAnsi="仿宋" w:eastAsia="仿宋" w:cs="仿宋"/>
      <w:color w:val="000000"/>
      <w:sz w:val="16"/>
      <w:szCs w:val="16"/>
    </w:rPr>
  </w:style>
  <w:style w:type="character" w:customStyle="1" w:styleId="213">
    <w:name w:val="正文文本缩进 3 Char12"/>
    <w:semiHidden/>
    <w:qFormat/>
    <w:uiPriority w:val="99"/>
    <w:rPr>
      <w:rFonts w:ascii="仿宋" w:hAnsi="仿宋" w:eastAsia="仿宋" w:cs="仿宋"/>
      <w:color w:val="000000"/>
      <w:sz w:val="16"/>
      <w:szCs w:val="16"/>
    </w:rPr>
  </w:style>
  <w:style w:type="character" w:customStyle="1" w:styleId="214">
    <w:name w:val="正文文本缩进 3 Char11"/>
    <w:semiHidden/>
    <w:qFormat/>
    <w:uiPriority w:val="99"/>
    <w:rPr>
      <w:rFonts w:ascii="仿宋" w:hAnsi="仿宋" w:eastAsia="仿宋" w:cs="仿宋"/>
      <w:color w:val="000000"/>
      <w:sz w:val="16"/>
      <w:szCs w:val="16"/>
    </w:rPr>
  </w:style>
  <w:style w:type="character" w:customStyle="1" w:styleId="215">
    <w:name w:val="未处理的提及1"/>
    <w:semiHidden/>
    <w:qFormat/>
    <w:uiPriority w:val="99"/>
    <w:rPr>
      <w:rFonts w:cs="Times New Roman"/>
      <w:color w:val="605E5C"/>
      <w:shd w:val="clear" w:color="auto" w:fill="E1DFDD"/>
    </w:rPr>
  </w:style>
  <w:style w:type="character" w:customStyle="1" w:styleId="216">
    <w:name w:val="Footer Char"/>
    <w:qFormat/>
    <w:locked/>
    <w:uiPriority w:val="0"/>
    <w:rPr>
      <w:rFonts w:cs="Times New Roman"/>
      <w:sz w:val="18"/>
      <w:szCs w:val="18"/>
    </w:rPr>
  </w:style>
  <w:style w:type="character" w:customStyle="1" w:styleId="217">
    <w:name w:val="Header Char"/>
    <w:qFormat/>
    <w:locked/>
    <w:uiPriority w:val="0"/>
    <w:rPr>
      <w:rFonts w:cs="Times New Roman"/>
      <w:sz w:val="18"/>
      <w:szCs w:val="18"/>
    </w:rPr>
  </w:style>
  <w:style w:type="table" w:customStyle="1" w:styleId="218">
    <w:name w:val="TableGrid"/>
    <w:qFormat/>
    <w:uiPriority w:val="99"/>
    <w:tblPr>
      <w:tblCellMar>
        <w:top w:w="0" w:type="dxa"/>
        <w:left w:w="0" w:type="dxa"/>
        <w:bottom w:w="0" w:type="dxa"/>
        <w:right w:w="0" w:type="dxa"/>
      </w:tblCellMar>
    </w:tblPr>
  </w:style>
  <w:style w:type="table" w:customStyle="1" w:styleId="219">
    <w:name w:val="Table Normal1"/>
    <w:semiHidden/>
    <w:qFormat/>
    <w:uiPriority w:val="99"/>
    <w:pPr>
      <w:widowControl w:val="0"/>
    </w:pPr>
    <w:rPr>
      <w:sz w:val="22"/>
      <w:lang w:eastAsia="en-US"/>
    </w:rPr>
    <w:tblPr>
      <w:tblCellMar>
        <w:top w:w="0" w:type="dxa"/>
        <w:left w:w="0" w:type="dxa"/>
        <w:bottom w:w="0" w:type="dxa"/>
        <w:right w:w="0" w:type="dxa"/>
      </w:tblCellMar>
    </w:tblPr>
  </w:style>
  <w:style w:type="table" w:customStyle="1" w:styleId="220">
    <w:name w:val="网格型1"/>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1">
    <w:name w:val="网格型2"/>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2">
    <w:name w:val="网格型3"/>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3">
    <w:name w:val="网格型4"/>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4">
    <w:name w:val="网格型5"/>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25">
    <w:name w:val="正文文本缩进 Char"/>
    <w:link w:val="226"/>
    <w:qFormat/>
    <w:uiPriority w:val="0"/>
    <w:rPr>
      <w:rFonts w:ascii="Calibri" w:hAnsi="Calibri" w:cs="黑体"/>
      <w:kern w:val="2"/>
      <w:sz w:val="24"/>
      <w:szCs w:val="22"/>
    </w:rPr>
  </w:style>
  <w:style w:type="paragraph" w:customStyle="1" w:styleId="226">
    <w:name w:val="正文文本缩进1"/>
    <w:basedOn w:val="1"/>
    <w:link w:val="225"/>
    <w:qFormat/>
    <w:uiPriority w:val="0"/>
    <w:pPr>
      <w:widowControl w:val="0"/>
      <w:spacing w:after="120" w:line="240" w:lineRule="auto"/>
      <w:ind w:left="420" w:leftChars="200" w:firstLine="0"/>
      <w:jc w:val="both"/>
    </w:pPr>
    <w:rPr>
      <w:rFonts w:ascii="Calibri" w:hAnsi="Calibri" w:eastAsia="宋体" w:cs="黑体"/>
      <w:color w:val="auto"/>
    </w:rPr>
  </w:style>
  <w:style w:type="character" w:customStyle="1" w:styleId="227">
    <w:name w:val="5-正文 Char"/>
    <w:link w:val="228"/>
    <w:qFormat/>
    <w:uiPriority w:val="0"/>
    <w:rPr>
      <w:kern w:val="2"/>
      <w:sz w:val="24"/>
      <w:szCs w:val="24"/>
    </w:rPr>
  </w:style>
  <w:style w:type="paragraph" w:customStyle="1" w:styleId="228">
    <w:name w:val="5-正文"/>
    <w:basedOn w:val="1"/>
    <w:link w:val="227"/>
    <w:qFormat/>
    <w:uiPriority w:val="0"/>
    <w:pPr>
      <w:widowControl w:val="0"/>
      <w:spacing w:before="100" w:beforeAutospacing="1" w:after="100" w:afterAutospacing="1" w:line="360" w:lineRule="auto"/>
      <w:ind w:left="0" w:firstLine="480" w:firstLineChars="200"/>
      <w:jc w:val="both"/>
    </w:pPr>
    <w:rPr>
      <w:rFonts w:ascii="Times New Roman" w:hAnsi="Times New Roman" w:eastAsia="宋体" w:cs="Times New Roman"/>
      <w:color w:val="auto"/>
      <w:szCs w:val="24"/>
    </w:rPr>
  </w:style>
  <w:style w:type="character" w:customStyle="1" w:styleId="229">
    <w:name w:val="加粗小标 Char Char"/>
    <w:link w:val="230"/>
    <w:qFormat/>
    <w:uiPriority w:val="0"/>
    <w:rPr>
      <w:b/>
      <w:kern w:val="2"/>
      <w:sz w:val="24"/>
      <w:szCs w:val="24"/>
    </w:rPr>
  </w:style>
  <w:style w:type="paragraph" w:customStyle="1" w:styleId="230">
    <w:name w:val="加粗小标"/>
    <w:basedOn w:val="1"/>
    <w:next w:val="1"/>
    <w:link w:val="229"/>
    <w:qFormat/>
    <w:uiPriority w:val="0"/>
    <w:pPr>
      <w:widowControl w:val="0"/>
      <w:tabs>
        <w:tab w:val="left" w:pos="360"/>
        <w:tab w:val="left" w:pos="567"/>
        <w:tab w:val="left" w:pos="1620"/>
      </w:tabs>
      <w:spacing w:after="0" w:line="360" w:lineRule="auto"/>
      <w:ind w:left="1620" w:hanging="360"/>
      <w:jc w:val="center"/>
      <w:textAlignment w:val="center"/>
      <w:outlineLvl w:val="4"/>
    </w:pPr>
    <w:rPr>
      <w:rFonts w:ascii="Times New Roman" w:hAnsi="Times New Roman" w:eastAsia="宋体" w:cs="Times New Roman"/>
      <w:b/>
      <w:color w:val="auto"/>
      <w:szCs w:val="24"/>
    </w:rPr>
  </w:style>
  <w:style w:type="character" w:customStyle="1" w:styleId="231">
    <w:name w:val="表格标题 Char"/>
    <w:link w:val="232"/>
    <w:qFormat/>
    <w:uiPriority w:val="0"/>
    <w:rPr>
      <w:rFonts w:ascii="Arial" w:hAnsi="Arial"/>
      <w:b/>
      <w:kern w:val="28"/>
      <w:sz w:val="24"/>
      <w:szCs w:val="24"/>
    </w:rPr>
  </w:style>
  <w:style w:type="paragraph" w:customStyle="1" w:styleId="232">
    <w:name w:val="表格标题"/>
    <w:next w:val="1"/>
    <w:link w:val="231"/>
    <w:qFormat/>
    <w:uiPriority w:val="0"/>
    <w:pPr>
      <w:overflowPunct w:val="0"/>
      <w:spacing w:beforeLines="50" w:afterLines="50"/>
      <w:jc w:val="center"/>
    </w:pPr>
    <w:rPr>
      <w:rFonts w:ascii="Arial" w:hAnsi="Arial" w:eastAsia="宋体" w:cs="Times New Roman"/>
      <w:b/>
      <w:kern w:val="28"/>
      <w:sz w:val="24"/>
      <w:szCs w:val="24"/>
      <w:lang w:val="en-US" w:eastAsia="zh-CN" w:bidi="ar-SA"/>
    </w:rPr>
  </w:style>
  <w:style w:type="character" w:customStyle="1" w:styleId="233">
    <w:name w:val="正文缩进 Char"/>
    <w:link w:val="234"/>
    <w:qFormat/>
    <w:uiPriority w:val="0"/>
    <w:rPr>
      <w:kern w:val="2"/>
      <w:sz w:val="24"/>
    </w:rPr>
  </w:style>
  <w:style w:type="paragraph" w:customStyle="1" w:styleId="234">
    <w:name w:val="正文缩进1"/>
    <w:basedOn w:val="1"/>
    <w:link w:val="233"/>
    <w:qFormat/>
    <w:uiPriority w:val="0"/>
    <w:pPr>
      <w:widowControl w:val="0"/>
      <w:spacing w:after="0" w:line="240" w:lineRule="auto"/>
      <w:ind w:left="0" w:firstLine="420"/>
      <w:jc w:val="both"/>
    </w:pPr>
    <w:rPr>
      <w:rFonts w:ascii="Times New Roman" w:hAnsi="Times New Roman" w:eastAsia="宋体" w:cs="Times New Roman"/>
      <w:color w:val="auto"/>
      <w:szCs w:val="20"/>
    </w:rPr>
  </w:style>
  <w:style w:type="character" w:customStyle="1" w:styleId="235">
    <w:name w:val="图表 Char Char"/>
    <w:link w:val="236"/>
    <w:qFormat/>
    <w:uiPriority w:val="0"/>
    <w:rPr>
      <w:rFonts w:ascii="宋体" w:hAnsi="宋体"/>
      <w:kern w:val="2"/>
      <w:sz w:val="21"/>
      <w:szCs w:val="21"/>
    </w:rPr>
  </w:style>
  <w:style w:type="paragraph" w:customStyle="1" w:styleId="236">
    <w:name w:val="图表"/>
    <w:link w:val="235"/>
    <w:qFormat/>
    <w:uiPriority w:val="0"/>
    <w:pPr>
      <w:spacing w:line="300" w:lineRule="exact"/>
      <w:jc w:val="center"/>
    </w:pPr>
    <w:rPr>
      <w:rFonts w:ascii="宋体" w:hAnsi="宋体" w:eastAsia="宋体" w:cs="Times New Roman"/>
      <w:kern w:val="2"/>
      <w:sz w:val="21"/>
      <w:szCs w:val="21"/>
      <w:lang w:val="en-US" w:eastAsia="zh-CN" w:bidi="ar-SA"/>
    </w:rPr>
  </w:style>
  <w:style w:type="character" w:customStyle="1" w:styleId="237">
    <w:name w:val="图片表格 Char Char"/>
    <w:link w:val="238"/>
    <w:qFormat/>
    <w:uiPriority w:val="0"/>
    <w:rPr>
      <w:color w:val="FF0000"/>
      <w:kern w:val="2"/>
      <w:sz w:val="24"/>
      <w:szCs w:val="24"/>
    </w:rPr>
  </w:style>
  <w:style w:type="paragraph" w:customStyle="1" w:styleId="238">
    <w:name w:val="图片表格"/>
    <w:basedOn w:val="1"/>
    <w:link w:val="237"/>
    <w:qFormat/>
    <w:uiPriority w:val="0"/>
    <w:pPr>
      <w:widowControl w:val="0"/>
      <w:spacing w:after="0" w:line="360" w:lineRule="auto"/>
      <w:ind w:left="0" w:firstLine="0"/>
      <w:jc w:val="center"/>
      <w:textAlignment w:val="center"/>
    </w:pPr>
    <w:rPr>
      <w:rFonts w:ascii="Times New Roman" w:hAnsi="Times New Roman" w:eastAsia="宋体" w:cs="Times New Roman"/>
      <w:color w:val="FF0000"/>
      <w:szCs w:val="24"/>
    </w:rPr>
  </w:style>
  <w:style w:type="character" w:customStyle="1" w:styleId="239">
    <w:name w:val="正文文本缩进 2 Char"/>
    <w:link w:val="240"/>
    <w:qFormat/>
    <w:uiPriority w:val="0"/>
    <w:rPr>
      <w:kern w:val="2"/>
      <w:sz w:val="21"/>
      <w:szCs w:val="24"/>
    </w:rPr>
  </w:style>
  <w:style w:type="paragraph" w:customStyle="1" w:styleId="240">
    <w:name w:val="正文文本缩进 21"/>
    <w:basedOn w:val="1"/>
    <w:link w:val="239"/>
    <w:qFormat/>
    <w:uiPriority w:val="0"/>
    <w:pPr>
      <w:widowControl w:val="0"/>
      <w:tabs>
        <w:tab w:val="left" w:pos="780"/>
        <w:tab w:val="left" w:pos="1080"/>
      </w:tabs>
      <w:spacing w:after="120" w:line="480" w:lineRule="auto"/>
      <w:ind w:left="420" w:leftChars="200" w:firstLine="0"/>
      <w:jc w:val="both"/>
    </w:pPr>
    <w:rPr>
      <w:rFonts w:ascii="Times New Roman" w:hAnsi="Times New Roman" w:eastAsia="宋体" w:cs="Times New Roman"/>
      <w:color w:val="auto"/>
      <w:sz w:val="21"/>
      <w:szCs w:val="24"/>
    </w:rPr>
  </w:style>
  <w:style w:type="character" w:customStyle="1" w:styleId="241">
    <w:name w:val="正文文本 2 Char1"/>
    <w:link w:val="242"/>
    <w:qFormat/>
    <w:uiPriority w:val="0"/>
    <w:rPr>
      <w:rFonts w:ascii="Arial" w:hAnsi="Arial"/>
      <w:kern w:val="24"/>
      <w:sz w:val="24"/>
      <w:szCs w:val="24"/>
    </w:rPr>
  </w:style>
  <w:style w:type="paragraph" w:customStyle="1" w:styleId="242">
    <w:name w:val="正文文本 21"/>
    <w:basedOn w:val="1"/>
    <w:link w:val="241"/>
    <w:qFormat/>
    <w:uiPriority w:val="0"/>
    <w:pPr>
      <w:widowControl w:val="0"/>
      <w:snapToGrid w:val="0"/>
      <w:spacing w:beforeLines="50" w:afterLines="50" w:line="360" w:lineRule="auto"/>
      <w:ind w:left="0" w:firstLine="472" w:firstLineChars="200"/>
    </w:pPr>
    <w:rPr>
      <w:rFonts w:ascii="Arial" w:hAnsi="Arial" w:eastAsia="宋体" w:cs="Times New Roman"/>
      <w:color w:val="auto"/>
      <w:kern w:val="24"/>
      <w:szCs w:val="24"/>
    </w:rPr>
  </w:style>
  <w:style w:type="character" w:customStyle="1" w:styleId="243">
    <w:name w:val="正文首行缩进 Char"/>
    <w:basedOn w:val="46"/>
    <w:link w:val="244"/>
    <w:qFormat/>
    <w:uiPriority w:val="0"/>
    <w:rPr>
      <w:rFonts w:ascii="仿宋" w:hAnsi="仿宋" w:eastAsia="仿宋" w:cs="仿宋"/>
      <w:color w:val="000000"/>
      <w:kern w:val="2"/>
      <w:sz w:val="21"/>
      <w:szCs w:val="24"/>
    </w:rPr>
  </w:style>
  <w:style w:type="paragraph" w:customStyle="1" w:styleId="244">
    <w:name w:val="正文首行缩进1"/>
    <w:basedOn w:val="11"/>
    <w:link w:val="243"/>
    <w:qFormat/>
    <w:uiPriority w:val="0"/>
    <w:pPr>
      <w:widowControl w:val="0"/>
      <w:spacing w:line="240" w:lineRule="auto"/>
      <w:ind w:left="0" w:firstLine="420" w:firstLineChars="100"/>
      <w:jc w:val="both"/>
    </w:pPr>
    <w:rPr>
      <w:rFonts w:ascii="Times New Roman" w:hAnsi="Times New Roman" w:eastAsia="宋体"/>
      <w:color w:val="auto"/>
      <w:kern w:val="2"/>
      <w:sz w:val="21"/>
      <w:szCs w:val="24"/>
    </w:rPr>
  </w:style>
  <w:style w:type="character" w:customStyle="1" w:styleId="245">
    <w:name w:val="正文文本 2 Char"/>
    <w:link w:val="246"/>
    <w:qFormat/>
    <w:uiPriority w:val="0"/>
    <w:rPr>
      <w:kern w:val="2"/>
      <w:sz w:val="21"/>
      <w:szCs w:val="24"/>
    </w:rPr>
  </w:style>
  <w:style w:type="paragraph" w:customStyle="1" w:styleId="246">
    <w:name w:val="正文文本 22"/>
    <w:basedOn w:val="1"/>
    <w:link w:val="245"/>
    <w:qFormat/>
    <w:uiPriority w:val="0"/>
    <w:pPr>
      <w:widowControl w:val="0"/>
      <w:spacing w:after="120" w:line="480" w:lineRule="auto"/>
      <w:ind w:left="0" w:firstLine="0"/>
      <w:jc w:val="both"/>
    </w:pPr>
    <w:rPr>
      <w:rFonts w:ascii="Times New Roman" w:hAnsi="Times New Roman" w:eastAsia="宋体" w:cs="Times New Roman"/>
      <w:color w:val="auto"/>
      <w:sz w:val="21"/>
      <w:szCs w:val="24"/>
    </w:rPr>
  </w:style>
  <w:style w:type="character" w:customStyle="1" w:styleId="247">
    <w:name w:val="表格文字 Char"/>
    <w:link w:val="248"/>
    <w:qFormat/>
    <w:uiPriority w:val="0"/>
    <w:rPr>
      <w:rFonts w:ascii="Arial" w:hAnsi="Arial Unicode MS"/>
      <w:bCs/>
      <w:snapToGrid w:val="0"/>
      <w:kern w:val="2"/>
      <w:sz w:val="21"/>
      <w:szCs w:val="21"/>
    </w:rPr>
  </w:style>
  <w:style w:type="paragraph" w:customStyle="1" w:styleId="248">
    <w:name w:val="表格文字"/>
    <w:link w:val="247"/>
    <w:qFormat/>
    <w:uiPriority w:val="0"/>
    <w:pPr>
      <w:widowControl w:val="0"/>
      <w:autoSpaceDE w:val="0"/>
      <w:autoSpaceDN w:val="0"/>
      <w:adjustRightInd w:val="0"/>
      <w:snapToGrid w:val="0"/>
      <w:jc w:val="center"/>
      <w:textAlignment w:val="center"/>
    </w:pPr>
    <w:rPr>
      <w:rFonts w:ascii="Arial" w:hAnsi="Arial Unicode MS" w:eastAsia="宋体" w:cs="Times New Roman"/>
      <w:bCs/>
      <w:snapToGrid w:val="0"/>
      <w:kern w:val="2"/>
      <w:sz w:val="21"/>
      <w:szCs w:val="21"/>
      <w:lang w:val="en-US" w:eastAsia="zh-CN" w:bidi="ar-SA"/>
    </w:rPr>
  </w:style>
  <w:style w:type="character" w:customStyle="1" w:styleId="249">
    <w:name w:val="标题3 Char"/>
    <w:link w:val="250"/>
    <w:qFormat/>
    <w:uiPriority w:val="0"/>
    <w:rPr>
      <w:rFonts w:ascii="宋体" w:hAnsi="宋体" w:eastAsia="黑体"/>
      <w:b/>
      <w:bCs/>
      <w:color w:val="008000"/>
      <w:kern w:val="2"/>
      <w:sz w:val="24"/>
      <w:szCs w:val="24"/>
    </w:rPr>
  </w:style>
  <w:style w:type="paragraph" w:customStyle="1" w:styleId="250">
    <w:name w:val="标题3"/>
    <w:basedOn w:val="4"/>
    <w:link w:val="249"/>
    <w:qFormat/>
    <w:uiPriority w:val="0"/>
    <w:pPr>
      <w:widowControl w:val="0"/>
      <w:spacing w:after="0" w:line="360" w:lineRule="auto"/>
      <w:ind w:left="0" w:firstLine="241" w:firstLineChars="100"/>
      <w:jc w:val="both"/>
    </w:pPr>
    <w:rPr>
      <w:rFonts w:hAnsi="宋体" w:eastAsia="黑体" w:cs="Times New Roman"/>
      <w:b/>
      <w:bCs/>
      <w:color w:val="008000"/>
      <w:sz w:val="24"/>
      <w:szCs w:val="24"/>
    </w:rPr>
  </w:style>
  <w:style w:type="character" w:customStyle="1" w:styleId="251">
    <w:name w:val="标准正文 Char"/>
    <w:link w:val="252"/>
    <w:qFormat/>
    <w:uiPriority w:val="0"/>
    <w:rPr>
      <w:rFonts w:ascii="Arial" w:hAnsi="Arial"/>
      <w:kern w:val="2"/>
      <w:sz w:val="24"/>
      <w:szCs w:val="24"/>
    </w:rPr>
  </w:style>
  <w:style w:type="paragraph" w:customStyle="1" w:styleId="252">
    <w:name w:val="标准正文"/>
    <w:basedOn w:val="1"/>
    <w:link w:val="251"/>
    <w:qFormat/>
    <w:uiPriority w:val="0"/>
    <w:pPr>
      <w:widowControl w:val="0"/>
      <w:spacing w:after="0" w:line="360" w:lineRule="auto"/>
      <w:ind w:left="0" w:firstLine="480" w:firstLineChars="200"/>
      <w:jc w:val="both"/>
    </w:pPr>
    <w:rPr>
      <w:rFonts w:ascii="Arial" w:hAnsi="Arial" w:eastAsia="宋体" w:cs="Times New Roman"/>
      <w:color w:val="auto"/>
      <w:szCs w:val="24"/>
    </w:rPr>
  </w:style>
  <w:style w:type="character" w:customStyle="1" w:styleId="253">
    <w:name w:val="t正文 Char"/>
    <w:link w:val="254"/>
    <w:qFormat/>
    <w:uiPriority w:val="0"/>
    <w:rPr>
      <w:rFonts w:ascii="宋体" w:hAnsi="宋体"/>
      <w:color w:val="000000"/>
      <w:kern w:val="2"/>
      <w:sz w:val="24"/>
      <w:szCs w:val="24"/>
    </w:rPr>
  </w:style>
  <w:style w:type="paragraph" w:customStyle="1" w:styleId="254">
    <w:name w:val="t正文"/>
    <w:basedOn w:val="1"/>
    <w:link w:val="253"/>
    <w:qFormat/>
    <w:uiPriority w:val="0"/>
    <w:pPr>
      <w:widowControl w:val="0"/>
      <w:spacing w:after="0" w:line="360" w:lineRule="auto"/>
      <w:ind w:left="0" w:firstLine="200" w:firstLineChars="200"/>
      <w:jc w:val="both"/>
    </w:pPr>
    <w:rPr>
      <w:rFonts w:ascii="宋体" w:hAnsi="宋体" w:eastAsia="宋体" w:cs="Times New Roman"/>
      <w:szCs w:val="24"/>
    </w:rPr>
  </w:style>
  <w:style w:type="character" w:customStyle="1" w:styleId="255">
    <w:name w:val="注释部分 Char"/>
    <w:link w:val="256"/>
    <w:qFormat/>
    <w:uiPriority w:val="0"/>
    <w:rPr>
      <w:rFonts w:ascii="Arial" w:hAnsi="Arial"/>
      <w:sz w:val="21"/>
      <w:szCs w:val="21"/>
    </w:rPr>
  </w:style>
  <w:style w:type="paragraph" w:customStyle="1" w:styleId="256">
    <w:name w:val="注释部分"/>
    <w:basedOn w:val="1"/>
    <w:link w:val="255"/>
    <w:qFormat/>
    <w:uiPriority w:val="0"/>
    <w:pPr>
      <w:widowControl w:val="0"/>
      <w:spacing w:after="0" w:line="240" w:lineRule="auto"/>
      <w:ind w:left="0" w:firstLine="420" w:firstLineChars="200"/>
      <w:jc w:val="both"/>
    </w:pPr>
    <w:rPr>
      <w:rFonts w:ascii="Arial" w:hAnsi="Arial" w:eastAsia="宋体" w:cs="Times New Roman"/>
      <w:color w:val="auto"/>
      <w:kern w:val="0"/>
      <w:sz w:val="21"/>
      <w:szCs w:val="21"/>
    </w:rPr>
  </w:style>
  <w:style w:type="character" w:customStyle="1" w:styleId="257">
    <w:name w:val="纯文本 Char1"/>
    <w:basedOn w:val="32"/>
    <w:semiHidden/>
    <w:qFormat/>
    <w:uiPriority w:val="99"/>
    <w:rPr>
      <w:rFonts w:ascii="宋体" w:hAnsi="Courier New" w:cs="Courier New"/>
      <w:color w:val="000000"/>
      <w:kern w:val="2"/>
      <w:sz w:val="21"/>
      <w:szCs w:val="21"/>
    </w:rPr>
  </w:style>
  <w:style w:type="character" w:customStyle="1" w:styleId="258">
    <w:name w:val="标题 Char1"/>
    <w:basedOn w:val="32"/>
    <w:qFormat/>
    <w:uiPriority w:val="0"/>
    <w:rPr>
      <w:rFonts w:asciiTheme="majorHAnsi" w:hAnsiTheme="majorHAnsi" w:cstheme="majorBidi"/>
      <w:b/>
      <w:bCs/>
      <w:color w:val="000000"/>
      <w:kern w:val="2"/>
      <w:sz w:val="32"/>
      <w:szCs w:val="32"/>
    </w:rPr>
  </w:style>
  <w:style w:type="character" w:customStyle="1" w:styleId="259">
    <w:name w:val="副标题 Char1"/>
    <w:basedOn w:val="32"/>
    <w:qFormat/>
    <w:uiPriority w:val="0"/>
    <w:rPr>
      <w:rFonts w:asciiTheme="majorHAnsi" w:hAnsiTheme="majorHAnsi" w:cstheme="majorBidi"/>
      <w:b/>
      <w:bCs/>
      <w:color w:val="000000"/>
      <w:kern w:val="28"/>
      <w:sz w:val="32"/>
      <w:szCs w:val="32"/>
    </w:rPr>
  </w:style>
  <w:style w:type="paragraph" w:customStyle="1" w:styleId="260">
    <w:name w:val="font5"/>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1">
    <w:name w:val="xl6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62">
    <w:name w:val="xl66"/>
    <w:basedOn w:val="1"/>
    <w:qFormat/>
    <w:uiPriority w:val="0"/>
    <w:pP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63">
    <w:name w:val="xl67"/>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4">
    <w:name w:val="xl68"/>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5">
    <w:name w:val="xl69"/>
    <w:basedOn w:val="1"/>
    <w:qFormat/>
    <w:uiPriority w:val="0"/>
    <w:pPr>
      <w:shd w:val="clear" w:color="000000" w:fill="FFFF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6">
    <w:name w:val="xl70"/>
    <w:basedOn w:val="1"/>
    <w:qFormat/>
    <w:uiPriority w:val="0"/>
    <w:pPr>
      <w:shd w:val="clear" w:color="000000" w:fill="0080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7">
    <w:name w:val="xl71"/>
    <w:basedOn w:val="1"/>
    <w:qFormat/>
    <w:uiPriority w:val="0"/>
    <w:pPr>
      <w:shd w:val="clear" w:color="000000" w:fill="99CCFF"/>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8">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69">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0">
    <w:name w:val="xl74"/>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1">
    <w:name w:val="xl75"/>
    <w:basedOn w:val="1"/>
    <w:qFormat/>
    <w:uiPriority w:val="0"/>
    <w:pPr>
      <w:pBdr>
        <w:top w:val="single" w:color="auto" w:sz="4" w:space="0"/>
        <w:left w:val="single" w:color="auto" w:sz="4" w:space="0"/>
        <w:bottom w:val="single" w:color="auto" w:sz="4" w:space="0"/>
        <w:right w:val="single" w:color="auto" w:sz="4" w:space="0"/>
      </w:pBdr>
      <w:shd w:val="clear" w:color="000000" w:fill="008000"/>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2">
    <w:name w:val="xl76"/>
    <w:basedOn w:val="1"/>
    <w:qFormat/>
    <w:uiPriority w:val="0"/>
    <w:pPr>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3">
    <w:name w:val="xl77"/>
    <w:basedOn w:val="1"/>
    <w:qFormat/>
    <w:uiPriority w:val="0"/>
    <w:pPr>
      <w:shd w:val="clear" w:color="000000" w:fill="99CCFF"/>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4">
    <w:name w:val="xl7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5">
    <w:name w:val="xl7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76">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7">
    <w:name w:val="xl81"/>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8">
    <w:name w:val="xl82"/>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9">
    <w:name w:val="xl83"/>
    <w:basedOn w:val="1"/>
    <w:qFormat/>
    <w:uiPriority w:val="0"/>
    <w:pPr>
      <w:shd w:val="clear" w:color="000000" w:fill="FFFF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0">
    <w:name w:val="xl84"/>
    <w:basedOn w:val="1"/>
    <w:qFormat/>
    <w:uiPriority w:val="0"/>
    <w:pPr>
      <w:shd w:val="clear" w:color="000000" w:fill="0080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1">
    <w:name w:val="xl85"/>
    <w:basedOn w:val="1"/>
    <w:qFormat/>
    <w:uiPriority w:val="0"/>
    <w:pPr>
      <w:pBdr>
        <w:top w:val="single" w:color="auto" w:sz="4" w:space="0"/>
        <w:left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82">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83">
    <w:name w:val="xl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84">
    <w:name w:val="font6"/>
    <w:basedOn w:val="1"/>
    <w:qFormat/>
    <w:uiPriority w:val="0"/>
    <w:pPr>
      <w:spacing w:before="100" w:beforeAutospacing="1" w:after="100" w:afterAutospacing="1" w:line="240" w:lineRule="auto"/>
      <w:ind w:left="0" w:firstLine="0"/>
    </w:pPr>
    <w:rPr>
      <w:rFonts w:ascii="宋体" w:hAnsi="宋体" w:eastAsia="宋体" w:cs="宋体"/>
      <w:kern w:val="0"/>
      <w:sz w:val="18"/>
      <w:szCs w:val="18"/>
    </w:rPr>
  </w:style>
  <w:style w:type="paragraph" w:customStyle="1" w:styleId="285">
    <w:name w:val="font7"/>
    <w:basedOn w:val="1"/>
    <w:qFormat/>
    <w:uiPriority w:val="0"/>
    <w:pPr>
      <w:spacing w:before="100" w:beforeAutospacing="1" w:after="100" w:afterAutospacing="1" w:line="240" w:lineRule="auto"/>
      <w:ind w:left="0" w:firstLine="0"/>
    </w:pPr>
    <w:rPr>
      <w:rFonts w:ascii="宋体" w:hAnsi="宋体" w:eastAsia="宋体" w:cs="宋体"/>
      <w:b/>
      <w:bCs/>
      <w:kern w:val="0"/>
      <w:sz w:val="18"/>
      <w:szCs w:val="18"/>
    </w:rPr>
  </w:style>
  <w:style w:type="table" w:customStyle="1" w:styleId="286">
    <w:name w:val="网格型6"/>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87">
    <w:name w:val="TOC 标题1"/>
    <w:basedOn w:val="2"/>
    <w:next w:val="1"/>
    <w:semiHidden/>
    <w:unhideWhenUsed/>
    <w:qFormat/>
    <w:uiPriority w:val="39"/>
    <w:pPr>
      <w:spacing w:before="480" w:after="0" w:line="276" w:lineRule="auto"/>
      <w:ind w:left="0" w:firstLine="0"/>
      <w:jc w:val="left"/>
      <w:outlineLvl w:val="9"/>
    </w:pPr>
    <w:rPr>
      <w:rFonts w:asciiTheme="majorHAnsi" w:hAnsiTheme="majorHAnsi" w:eastAsiaTheme="majorEastAsia" w:cstheme="majorBidi"/>
      <w:b/>
      <w:bCs/>
      <w:color w:val="366091" w:themeColor="accent1" w:themeShade="BF"/>
      <w:sz w:val="28"/>
      <w:szCs w:val="28"/>
    </w:rPr>
  </w:style>
  <w:style w:type="paragraph" w:customStyle="1" w:styleId="288">
    <w:name w:val="xl63"/>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9">
    <w:name w:val="xl6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table" w:customStyle="1" w:styleId="290">
    <w:name w:val="网格型7"/>
    <w:basedOn w:val="3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customStyle="1" w:styleId="291">
    <w:name w:val="font21"/>
    <w:basedOn w:val="32"/>
    <w:qFormat/>
    <w:uiPriority w:val="0"/>
    <w:rPr>
      <w:rFonts w:hint="eastAsia" w:ascii="宋体" w:hAnsi="宋体" w:eastAsia="宋体" w:cs="宋体"/>
      <w:color w:val="0D0D0D"/>
      <w:sz w:val="20"/>
      <w:szCs w:val="20"/>
      <w:u w:val="none"/>
    </w:rPr>
  </w:style>
  <w:style w:type="character" w:customStyle="1" w:styleId="292">
    <w:name w:val="Font Style18"/>
    <w:qFormat/>
    <w:uiPriority w:val="0"/>
    <w:rPr>
      <w:rFonts w:ascii="Arial" w:hAnsi="Arial" w:cs="Arial"/>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fontTable" Target="fontTable.xml"/><Relationship Id="rId38" Type="http://schemas.openxmlformats.org/officeDocument/2006/relationships/customXml" Target="../customXml/item1.xml"/><Relationship Id="rId37" Type="http://schemas.openxmlformats.org/officeDocument/2006/relationships/numbering" Target="numbering.xml"/><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footnotes" Target="footnotes.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8F0FE0-E5BC-44D3-8B2A-8D2C4CD05A2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14740</Words>
  <Characters>84018</Characters>
  <Lines>700</Lines>
  <Paragraphs>197</Paragraphs>
  <TotalTime>14</TotalTime>
  <ScaleCrop>false</ScaleCrop>
  <LinksUpToDate>false</LinksUpToDate>
  <CharactersWithSpaces>98561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2020-08-05T08:09:00Z</dcterms:created>
  <dc:creator>G X</dc:creator>
  <cp:lastModifiedBy>单调的黑白</cp:lastModifiedBy>
  <cp:lastPrinted>2019-06-14T05:25:00Z</cp:lastPrinted>
  <dcterms:modified xsi:type="dcterms:W3CDTF">2022-06-17T07:14:44Z</dcterms:modified>
  <dc:title>安全生产标准化手册第二册</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F8DEC7DF4A444D479FCB09B353CFFF86</vt:lpwstr>
  </property>
</Properties>
</file>